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7.xml" ContentType="application/vnd.openxmlformats-officedocument.wordprocessingml.footer+xml"/>
  <Override PartName="/word/header3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0.xml" ContentType="application/vnd.openxmlformats-officedocument.wordprocessingml.foot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5.xml" ContentType="application/vnd.openxmlformats-officedocument.wordprocessingml.footer+xml"/>
  <Override PartName="/word/header43.xml" ContentType="application/vnd.openxmlformats-officedocument.wordprocessingml.header+xml"/>
  <Override PartName="/word/footer3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37.xml" ContentType="application/vnd.openxmlformats-officedocument.wordprocessingml.footer+xml"/>
  <Override PartName="/word/header48.xml" ContentType="application/vnd.openxmlformats-officedocument.wordprocessingml.header+xml"/>
  <Override PartName="/word/footer38.xml" ContentType="application/vnd.openxmlformats-officedocument.wordprocessingml.footer+xml"/>
  <Override PartName="/word/header49.xml" ContentType="application/vnd.openxmlformats-officedocument.wordprocessingml.header+xml"/>
  <Override PartName="/word/footer3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40.xml" ContentType="application/vnd.openxmlformats-officedocument.wordprocessingml.footer+xml"/>
  <Override PartName="/word/header53.xml" ContentType="application/vnd.openxmlformats-officedocument.wordprocessingml.header+xml"/>
  <Override PartName="/word/footer41.xml" ContentType="application/vnd.openxmlformats-officedocument.wordprocessingml.footer+xml"/>
  <Override PartName="/word/header5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4.xml" ContentType="application/vnd.openxmlformats-officedocument.wordprocessingml.footer+xml"/>
  <Override PartName="/word/header58.xml" ContentType="application/vnd.openxmlformats-officedocument.wordprocessingml.header+xml"/>
  <Override PartName="/word/footer45.xml" ContentType="application/vnd.openxmlformats-officedocument.wordprocessingml.footer+xml"/>
  <Override PartName="/word/header59.xml" ContentType="application/vnd.openxmlformats-officedocument.wordprocessingml.header+xml"/>
  <Override PartName="/word/footer46.xml" ContentType="application/vnd.openxmlformats-officedocument.wordprocessingml.footer+xml"/>
  <Override PartName="/word/header6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r>
        <w:rPr/>
        <w:pict>
          <v:group style="position:absolute;margin-left:0pt;margin-top:2.454083pt;width:594.35pt;height:.1pt;mso-position-horizontal-relative:page;mso-position-vertical-relative:page;z-index:0" coordorigin="0,49" coordsize="11887,2">
            <v:shape style="position:absolute;left:0;top:49;width:11887;height:2" coordorigin="0,49" coordsize="11887,0" path="m0,49l11887,49e" filled="false" stroked="true" strokeweight="1.635495pt" strokecolor="#b8d8c8">
              <v:path arrowok="t"/>
            </v:shape>
            <w10:wrap type="none"/>
          </v:group>
        </w:pict>
      </w:r>
    </w:p>
    <w:p>
      <w:pPr>
        <w:spacing w:line="240" w:lineRule="auto" w:before="0"/>
        <w:rPr>
          <w:rFonts w:ascii="Times New Roman" w:hAnsi="Times New Roman" w:cs="Times New Roman" w:eastAsia="Times New Roman"/>
          <w:sz w:val="20"/>
          <w:szCs w:val="20"/>
        </w:rPr>
      </w:pPr>
    </w:p>
    <w:p>
      <w:pPr>
        <w:spacing w:line="240" w:lineRule="auto" w:before="8"/>
        <w:rPr>
          <w:rFonts w:ascii="Times New Roman" w:hAnsi="Times New Roman" w:cs="Times New Roman" w:eastAsia="Times New Roman"/>
          <w:sz w:val="26"/>
          <w:szCs w:val="26"/>
        </w:rPr>
      </w:pPr>
    </w:p>
    <w:p>
      <w:pPr>
        <w:spacing w:line="1188" w:lineRule="exact"/>
        <w:ind w:left="9883" w:right="0" w:firstLine="0"/>
        <w:rPr>
          <w:rFonts w:ascii="Times New Roman" w:hAnsi="Times New Roman" w:cs="Times New Roman" w:eastAsia="Times New Roman"/>
          <w:sz w:val="20"/>
          <w:szCs w:val="20"/>
        </w:rPr>
      </w:pPr>
      <w:r>
        <w:rPr>
          <w:rFonts w:ascii="Times New Roman" w:hAnsi="Times New Roman" w:cs="Times New Roman" w:eastAsia="Times New Roman"/>
          <w:position w:val="-23"/>
          <w:sz w:val="20"/>
          <w:szCs w:val="20"/>
        </w:rPr>
        <w:drawing>
          <wp:inline distT="0" distB="0" distL="0" distR="0">
            <wp:extent cx="729233" cy="75437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29233" cy="754379"/>
                    </a:xfrm>
                    <a:prstGeom prst="rect">
                      <a:avLst/>
                    </a:prstGeom>
                  </pic:spPr>
                </pic:pic>
              </a:graphicData>
            </a:graphic>
          </wp:inline>
        </w:drawing>
      </w:r>
      <w:r>
        <w:rPr>
          <w:rFonts w:ascii="Times New Roman" w:hAnsi="Times New Roman" w:cs="Times New Roman" w:eastAsia="Times New Roman"/>
          <w:position w:val="-23"/>
          <w:sz w:val="20"/>
          <w:szCs w:val="20"/>
        </w:rPr>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before="122"/>
        <w:ind w:left="1229" w:right="0" w:firstLine="0"/>
        <w:jc w:val="left"/>
        <w:rPr>
          <w:rFonts w:ascii="宋体" w:hAnsi="宋体" w:cs="宋体" w:eastAsia="宋体"/>
          <w:sz w:val="34"/>
          <w:szCs w:val="34"/>
        </w:rPr>
      </w:pPr>
      <w:r>
        <w:rPr>
          <w:rFonts w:ascii="宋体" w:hAnsi="宋体" w:cs="宋体" w:eastAsia="宋体"/>
          <w:color w:val="6E857B"/>
          <w:spacing w:val="-216"/>
          <w:w w:val="125"/>
          <w:sz w:val="34"/>
          <w:szCs w:val="34"/>
        </w:rPr>
        <w:t>／／／／／／／／／／／／／／／／／／／／／／／／／／／／／／／／／／／／／／／／／／／／／／／／</w:t>
      </w:r>
      <w:r>
        <w:rPr>
          <w:rFonts w:ascii="宋体" w:hAnsi="宋体" w:cs="宋体" w:eastAsia="宋体"/>
          <w:spacing w:val="-216"/>
          <w:sz w:val="34"/>
          <w:szCs w:val="34"/>
        </w:rPr>
      </w:r>
    </w:p>
    <w:p>
      <w:pPr>
        <w:tabs>
          <w:tab w:pos="1838" w:val="left" w:leader="none"/>
          <w:tab w:pos="2518" w:val="left" w:leader="none"/>
          <w:tab w:pos="3172" w:val="left" w:leader="none"/>
          <w:tab w:pos="3846" w:val="left" w:leader="none"/>
          <w:tab w:pos="4507" w:val="left" w:leader="none"/>
          <w:tab w:pos="5181" w:val="left" w:leader="none"/>
          <w:tab w:pos="5841" w:val="left" w:leader="none"/>
          <w:tab w:pos="6528" w:val="left" w:leader="none"/>
          <w:tab w:pos="7183" w:val="left" w:leader="none"/>
          <w:tab w:pos="7850" w:val="left" w:leader="none"/>
          <w:tab w:pos="8524" w:val="left" w:leader="none"/>
          <w:tab w:pos="9178" w:val="left" w:leader="none"/>
        </w:tabs>
        <w:spacing w:before="24"/>
        <w:ind w:left="1131" w:right="0" w:firstLine="32"/>
        <w:jc w:val="left"/>
        <w:rPr>
          <w:rFonts w:ascii="宋体" w:hAnsi="宋体" w:cs="宋体" w:eastAsia="宋体"/>
          <w:sz w:val="37"/>
          <w:szCs w:val="37"/>
        </w:rPr>
      </w:pPr>
      <w:r>
        <w:rPr>
          <w:rFonts w:ascii="宋体" w:hAnsi="宋体" w:cs="宋体" w:eastAsia="宋体"/>
          <w:color w:val="626E67"/>
          <w:sz w:val="37"/>
          <w:szCs w:val="37"/>
        </w:rPr>
        <w:t>普</w:t>
        <w:tab/>
        <w:t>通</w:t>
        <w:tab/>
      </w:r>
      <w:r>
        <w:rPr>
          <w:rFonts w:ascii="宋体" w:hAnsi="宋体" w:cs="宋体" w:eastAsia="宋体"/>
          <w:color w:val="626E67"/>
          <w:w w:val="95"/>
          <w:sz w:val="37"/>
          <w:szCs w:val="37"/>
        </w:rPr>
        <w:t>高</w:t>
        <w:tab/>
      </w:r>
      <w:r>
        <w:rPr>
          <w:rFonts w:ascii="宋体" w:hAnsi="宋体" w:cs="宋体" w:eastAsia="宋体"/>
          <w:color w:val="626E67"/>
          <w:sz w:val="37"/>
          <w:szCs w:val="37"/>
        </w:rPr>
        <w:t>等</w:t>
        <w:tab/>
        <w:t>学</w:t>
        <w:tab/>
        <w:t>校</w:t>
        <w:tab/>
        <w:t>师</w:t>
        <w:tab/>
        <w:t>范</w:t>
        <w:tab/>
      </w:r>
      <w:r>
        <w:rPr>
          <w:rFonts w:ascii="宋体" w:hAnsi="宋体" w:cs="宋体" w:eastAsia="宋体"/>
          <w:color w:val="626E67"/>
          <w:w w:val="95"/>
          <w:sz w:val="37"/>
          <w:szCs w:val="37"/>
        </w:rPr>
        <w:t>类</w:t>
        <w:tab/>
      </w:r>
      <w:r>
        <w:rPr>
          <w:rFonts w:ascii="宋体" w:hAnsi="宋体" w:cs="宋体" w:eastAsia="宋体"/>
          <w:color w:val="626E67"/>
          <w:sz w:val="37"/>
          <w:szCs w:val="37"/>
        </w:rPr>
        <w:t>专</w:t>
        <w:tab/>
        <w:t>业</w:t>
        <w:tab/>
        <w:t>认</w:t>
        <w:tab/>
        <w:t>证</w:t>
      </w:r>
      <w:r>
        <w:rPr>
          <w:rFonts w:ascii="宋体" w:hAnsi="宋体" w:cs="宋体" w:eastAsia="宋体"/>
          <w:sz w:val="37"/>
          <w:szCs w:val="37"/>
        </w:rPr>
      </w:r>
    </w:p>
    <w:p>
      <w:pPr>
        <w:spacing w:line="240" w:lineRule="auto" w:before="0"/>
        <w:rPr>
          <w:rFonts w:ascii="宋体" w:hAnsi="宋体" w:cs="宋体" w:eastAsia="宋体"/>
          <w:sz w:val="36"/>
          <w:szCs w:val="36"/>
        </w:rPr>
      </w:pPr>
    </w:p>
    <w:p>
      <w:pPr>
        <w:spacing w:line="240" w:lineRule="auto" w:before="0"/>
        <w:rPr>
          <w:rFonts w:ascii="宋体" w:hAnsi="宋体" w:cs="宋体" w:eastAsia="宋体"/>
          <w:sz w:val="36"/>
          <w:szCs w:val="36"/>
        </w:rPr>
      </w:pPr>
    </w:p>
    <w:p>
      <w:pPr>
        <w:spacing w:line="240" w:lineRule="auto" w:before="2"/>
        <w:rPr>
          <w:rFonts w:ascii="宋体" w:hAnsi="宋体" w:cs="宋体" w:eastAsia="宋体"/>
          <w:sz w:val="53"/>
          <w:szCs w:val="53"/>
        </w:rPr>
      </w:pPr>
    </w:p>
    <w:p>
      <w:pPr>
        <w:tabs>
          <w:tab w:pos="7817" w:val="left" w:leader="none"/>
        </w:tabs>
        <w:spacing w:before="0"/>
        <w:ind w:left="1131" w:right="0" w:firstLine="0"/>
        <w:jc w:val="left"/>
        <w:rPr>
          <w:rFonts w:ascii="Times New Roman" w:hAnsi="Times New Roman" w:cs="Times New Roman" w:eastAsia="Times New Roman"/>
          <w:sz w:val="30"/>
          <w:szCs w:val="30"/>
        </w:rPr>
      </w:pPr>
      <w:r>
        <w:rPr>
          <w:rFonts w:ascii="Times New Roman"/>
          <w:color w:val="626E67"/>
          <w:w w:val="105"/>
          <w:sz w:val="30"/>
        </w:rPr>
        <w:t>ZI </w:t>
      </w:r>
      <w:r>
        <w:rPr>
          <w:rFonts w:ascii="Times New Roman"/>
          <w:color w:val="626E67"/>
          <w:spacing w:val="35"/>
          <w:w w:val="105"/>
          <w:sz w:val="30"/>
        </w:rPr>
        <w:t> </w:t>
      </w:r>
      <w:r>
        <w:rPr>
          <w:rFonts w:ascii="Times New Roman"/>
          <w:color w:val="626E67"/>
          <w:w w:val="105"/>
          <w:sz w:val="30"/>
        </w:rPr>
        <w:t>P</w:t>
      </w:r>
      <w:r>
        <w:rPr>
          <w:rFonts w:ascii="Times New Roman"/>
          <w:color w:val="626E67"/>
          <w:spacing w:val="-15"/>
          <w:w w:val="105"/>
          <w:sz w:val="30"/>
        </w:rPr>
        <w:t> </w:t>
      </w:r>
      <w:r>
        <w:rPr>
          <w:rFonts w:ascii="Times New Roman"/>
          <w:color w:val="626E67"/>
          <w:w w:val="105"/>
          <w:sz w:val="30"/>
        </w:rPr>
        <w:t>I</w:t>
      </w:r>
      <w:r>
        <w:rPr>
          <w:rFonts w:ascii="Times New Roman"/>
          <w:color w:val="626E67"/>
          <w:spacing w:val="-30"/>
          <w:w w:val="105"/>
          <w:sz w:val="30"/>
        </w:rPr>
        <w:t> </w:t>
      </w:r>
      <w:r>
        <w:rPr>
          <w:rFonts w:ascii="Times New Roman"/>
          <w:color w:val="626E67"/>
          <w:w w:val="105"/>
          <w:sz w:val="30"/>
        </w:rPr>
        <w:t>N</w:t>
      </w:r>
      <w:r>
        <w:rPr>
          <w:rFonts w:ascii="Times New Roman"/>
          <w:color w:val="626E67"/>
          <w:spacing w:val="-11"/>
          <w:w w:val="105"/>
          <w:sz w:val="30"/>
        </w:rPr>
        <w:t> </w:t>
      </w:r>
      <w:r>
        <w:rPr>
          <w:rFonts w:ascii="Times New Roman"/>
          <w:color w:val="626E67"/>
          <w:w w:val="105"/>
          <w:sz w:val="30"/>
        </w:rPr>
        <w:t>G </w:t>
      </w:r>
      <w:r>
        <w:rPr>
          <w:rFonts w:ascii="Times New Roman"/>
          <w:color w:val="626E67"/>
          <w:spacing w:val="30"/>
          <w:w w:val="105"/>
          <w:sz w:val="30"/>
        </w:rPr>
        <w:t> </w:t>
      </w:r>
      <w:r>
        <w:rPr>
          <w:rFonts w:ascii="Times New Roman"/>
          <w:color w:val="626E67"/>
          <w:w w:val="105"/>
          <w:sz w:val="30"/>
        </w:rPr>
        <w:t>B</w:t>
      </w:r>
      <w:r>
        <w:rPr>
          <w:rFonts w:ascii="Times New Roman"/>
          <w:color w:val="626E67"/>
          <w:spacing w:val="-39"/>
          <w:w w:val="105"/>
          <w:sz w:val="30"/>
        </w:rPr>
        <w:t> </w:t>
      </w:r>
      <w:r>
        <w:rPr>
          <w:rFonts w:ascii="Times New Roman"/>
          <w:color w:val="626E67"/>
          <w:w w:val="105"/>
          <w:sz w:val="30"/>
        </w:rPr>
        <w:t>A</w:t>
      </w:r>
      <w:r>
        <w:rPr>
          <w:rFonts w:ascii="Times New Roman"/>
          <w:color w:val="626E67"/>
          <w:spacing w:val="-29"/>
          <w:w w:val="105"/>
          <w:sz w:val="30"/>
        </w:rPr>
        <w:t> </w:t>
      </w:r>
      <w:r>
        <w:rPr>
          <w:rFonts w:ascii="Times New Roman"/>
          <w:color w:val="626E67"/>
          <w:w w:val="105"/>
          <w:sz w:val="30"/>
        </w:rPr>
        <w:t>O </w:t>
      </w:r>
      <w:r>
        <w:rPr>
          <w:rFonts w:ascii="Times New Roman"/>
          <w:color w:val="626E67"/>
          <w:spacing w:val="30"/>
          <w:w w:val="105"/>
          <w:sz w:val="30"/>
        </w:rPr>
        <w:t> </w:t>
      </w:r>
      <w:r>
        <w:rPr>
          <w:rFonts w:ascii="Times New Roman"/>
          <w:color w:val="626E67"/>
          <w:w w:val="105"/>
          <w:sz w:val="30"/>
        </w:rPr>
        <w:t>G</w:t>
      </w:r>
      <w:r>
        <w:rPr>
          <w:rFonts w:ascii="Times New Roman"/>
          <w:color w:val="626E67"/>
          <w:spacing w:val="-40"/>
          <w:w w:val="105"/>
          <w:sz w:val="30"/>
        </w:rPr>
        <w:t> </w:t>
      </w:r>
      <w:r>
        <w:rPr>
          <w:rFonts w:ascii="Times New Roman"/>
          <w:color w:val="626E67"/>
          <w:w w:val="105"/>
          <w:sz w:val="30"/>
        </w:rPr>
        <w:t>A</w:t>
      </w:r>
      <w:r>
        <w:rPr>
          <w:rFonts w:ascii="Times New Roman"/>
          <w:color w:val="626E67"/>
          <w:spacing w:val="-29"/>
          <w:w w:val="105"/>
          <w:sz w:val="30"/>
        </w:rPr>
        <w:t> </w:t>
      </w:r>
      <w:r>
        <w:rPr>
          <w:rFonts w:ascii="Times New Roman"/>
          <w:color w:val="626E67"/>
          <w:w w:val="105"/>
          <w:sz w:val="30"/>
        </w:rPr>
        <w:t>O </w:t>
      </w:r>
      <w:r>
        <w:rPr>
          <w:rFonts w:ascii="Times New Roman"/>
          <w:color w:val="626E67"/>
          <w:spacing w:val="21"/>
          <w:w w:val="105"/>
          <w:sz w:val="30"/>
        </w:rPr>
        <w:t> </w:t>
      </w:r>
      <w:r>
        <w:rPr>
          <w:rFonts w:ascii="Times New Roman"/>
          <w:color w:val="626E67"/>
          <w:w w:val="105"/>
          <w:sz w:val="30"/>
        </w:rPr>
        <w:t>Z</w:t>
      </w:r>
      <w:r>
        <w:rPr>
          <w:rFonts w:ascii="Times New Roman"/>
          <w:color w:val="626E67"/>
          <w:spacing w:val="-17"/>
          <w:w w:val="105"/>
          <w:sz w:val="30"/>
        </w:rPr>
        <w:t> </w:t>
      </w:r>
      <w:r>
        <w:rPr>
          <w:rFonts w:ascii="Times New Roman"/>
          <w:color w:val="626E67"/>
          <w:w w:val="105"/>
          <w:sz w:val="30"/>
        </w:rPr>
        <w:t>H</w:t>
      </w:r>
      <w:r>
        <w:rPr>
          <w:rFonts w:ascii="Times New Roman"/>
          <w:color w:val="626E67"/>
          <w:spacing w:val="-16"/>
          <w:w w:val="105"/>
          <w:sz w:val="30"/>
        </w:rPr>
        <w:t> </w:t>
      </w:r>
      <w:r>
        <w:rPr>
          <w:rFonts w:ascii="Times New Roman"/>
          <w:color w:val="626E67"/>
          <w:w w:val="105"/>
          <w:sz w:val="30"/>
        </w:rPr>
        <w:t>U</w:t>
      </w:r>
      <w:r>
        <w:rPr>
          <w:rFonts w:ascii="Times New Roman"/>
          <w:color w:val="626E67"/>
          <w:spacing w:val="-35"/>
          <w:w w:val="105"/>
          <w:sz w:val="30"/>
        </w:rPr>
        <w:t> </w:t>
      </w:r>
      <w:r>
        <w:rPr>
          <w:rFonts w:ascii="Times New Roman"/>
          <w:color w:val="626E67"/>
          <w:w w:val="105"/>
          <w:sz w:val="30"/>
        </w:rPr>
        <w:t>A</w:t>
      </w:r>
      <w:r>
        <w:rPr>
          <w:rFonts w:ascii="Times New Roman"/>
          <w:color w:val="626E67"/>
          <w:spacing w:val="-29"/>
          <w:w w:val="105"/>
          <w:sz w:val="30"/>
        </w:rPr>
        <w:t> </w:t>
      </w:r>
      <w:r>
        <w:rPr>
          <w:rFonts w:ascii="Times New Roman"/>
          <w:color w:val="626E67"/>
          <w:w w:val="105"/>
          <w:sz w:val="30"/>
        </w:rPr>
        <w:t>N </w:t>
      </w:r>
      <w:r>
        <w:rPr>
          <w:rFonts w:ascii="Times New Roman"/>
          <w:color w:val="626E67"/>
          <w:spacing w:val="32"/>
          <w:w w:val="105"/>
          <w:sz w:val="30"/>
        </w:rPr>
        <w:t> </w:t>
      </w:r>
      <w:r>
        <w:rPr>
          <w:rFonts w:ascii="Times New Roman"/>
          <w:color w:val="626E67"/>
          <w:w w:val="105"/>
          <w:sz w:val="30"/>
        </w:rPr>
        <w:t>X</w:t>
      </w:r>
      <w:r>
        <w:rPr>
          <w:rFonts w:ascii="Times New Roman"/>
          <w:color w:val="626E67"/>
          <w:spacing w:val="-22"/>
          <w:w w:val="105"/>
          <w:sz w:val="30"/>
        </w:rPr>
        <w:t> </w:t>
      </w:r>
      <w:r>
        <w:rPr>
          <w:rFonts w:ascii="Times New Roman"/>
          <w:color w:val="626E67"/>
          <w:w w:val="105"/>
          <w:sz w:val="30"/>
        </w:rPr>
        <w:t>I</w:t>
      </w:r>
      <w:r>
        <w:rPr>
          <w:rFonts w:ascii="Times New Roman"/>
          <w:color w:val="626E67"/>
          <w:spacing w:val="-18"/>
          <w:w w:val="105"/>
          <w:sz w:val="30"/>
        </w:rPr>
        <w:t> </w:t>
      </w:r>
      <w:r>
        <w:rPr>
          <w:rFonts w:ascii="Times New Roman"/>
          <w:color w:val="626E67"/>
          <w:w w:val="105"/>
          <w:sz w:val="30"/>
        </w:rPr>
        <w:t>E </w:t>
      </w:r>
      <w:r>
        <w:rPr>
          <w:rFonts w:ascii="Times New Roman"/>
          <w:color w:val="626E67"/>
          <w:spacing w:val="26"/>
          <w:w w:val="105"/>
          <w:sz w:val="30"/>
        </w:rPr>
        <w:t> </w:t>
      </w:r>
      <w:r>
        <w:rPr>
          <w:rFonts w:ascii="Times New Roman"/>
          <w:color w:val="626E67"/>
          <w:w w:val="105"/>
          <w:sz w:val="30"/>
        </w:rPr>
        <w:t>Z</w:t>
      </w:r>
      <w:r>
        <w:rPr>
          <w:rFonts w:ascii="Times New Roman"/>
          <w:color w:val="626E67"/>
          <w:spacing w:val="-17"/>
          <w:w w:val="105"/>
          <w:sz w:val="30"/>
        </w:rPr>
        <w:t> </w:t>
      </w:r>
      <w:r>
        <w:rPr>
          <w:rFonts w:ascii="Times New Roman"/>
          <w:color w:val="626E67"/>
          <w:w w:val="105"/>
          <w:sz w:val="30"/>
        </w:rPr>
        <w:t>H</w:t>
      </w:r>
      <w:r>
        <w:rPr>
          <w:rFonts w:ascii="Times New Roman"/>
          <w:color w:val="626E67"/>
          <w:spacing w:val="-16"/>
          <w:w w:val="105"/>
          <w:sz w:val="30"/>
        </w:rPr>
        <w:t> </w:t>
      </w:r>
      <w:r>
        <w:rPr>
          <w:rFonts w:ascii="Times New Roman"/>
          <w:color w:val="626E67"/>
          <w:w w:val="105"/>
          <w:sz w:val="30"/>
        </w:rPr>
        <w:t>I</w:t>
        <w:tab/>
        <w:t>D</w:t>
      </w:r>
      <w:r>
        <w:rPr>
          <w:rFonts w:ascii="Times New Roman"/>
          <w:color w:val="626E67"/>
          <w:spacing w:val="-42"/>
          <w:w w:val="105"/>
          <w:sz w:val="30"/>
        </w:rPr>
        <w:t> </w:t>
      </w:r>
      <w:r>
        <w:rPr>
          <w:rFonts w:ascii="Times New Roman"/>
          <w:color w:val="626E67"/>
          <w:w w:val="105"/>
          <w:sz w:val="30"/>
        </w:rPr>
        <w:t>A</w:t>
      </w:r>
      <w:r>
        <w:rPr>
          <w:rFonts w:ascii="Times New Roman"/>
          <w:color w:val="626E67"/>
          <w:spacing w:val="-23"/>
          <w:w w:val="105"/>
          <w:sz w:val="30"/>
        </w:rPr>
        <w:t> </w:t>
      </w:r>
      <w:r>
        <w:rPr>
          <w:rFonts w:ascii="Times New Roman"/>
          <w:color w:val="626E67"/>
          <w:w w:val="105"/>
          <w:sz w:val="30"/>
        </w:rPr>
        <w:t>O </w:t>
      </w:r>
      <w:r>
        <w:rPr>
          <w:rFonts w:ascii="Times New Roman"/>
          <w:color w:val="626E67"/>
          <w:spacing w:val="33"/>
          <w:w w:val="105"/>
          <w:sz w:val="30"/>
        </w:rPr>
        <w:t> </w:t>
      </w:r>
      <w:r>
        <w:rPr>
          <w:rFonts w:ascii="Times New Roman"/>
          <w:color w:val="626E67"/>
          <w:w w:val="105"/>
          <w:sz w:val="30"/>
        </w:rPr>
        <w:t>S</w:t>
      </w:r>
      <w:r>
        <w:rPr>
          <w:rFonts w:ascii="Times New Roman"/>
          <w:color w:val="626E67"/>
          <w:spacing w:val="-38"/>
          <w:w w:val="105"/>
          <w:sz w:val="30"/>
        </w:rPr>
        <w:t> </w:t>
      </w:r>
      <w:r>
        <w:rPr>
          <w:rFonts w:ascii="Times New Roman"/>
          <w:color w:val="626E67"/>
          <w:w w:val="105"/>
          <w:sz w:val="30"/>
        </w:rPr>
        <w:t>H</w:t>
      </w:r>
      <w:r>
        <w:rPr>
          <w:rFonts w:ascii="Times New Roman"/>
          <w:color w:val="626E67"/>
          <w:spacing w:val="-17"/>
          <w:w w:val="105"/>
          <w:sz w:val="30"/>
        </w:rPr>
        <w:t> </w:t>
      </w:r>
      <w:r>
        <w:rPr>
          <w:rFonts w:ascii="Times New Roman"/>
          <w:color w:val="626E67"/>
          <w:w w:val="105"/>
          <w:sz w:val="30"/>
        </w:rPr>
        <w:t>U</w:t>
      </w:r>
      <w:r>
        <w:rPr>
          <w:rFonts w:ascii="Times New Roman"/>
          <w:sz w:val="30"/>
        </w:rPr>
      </w: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line="240" w:lineRule="auto" w:before="0"/>
        <w:rPr>
          <w:rFonts w:ascii="Times New Roman" w:hAnsi="Times New Roman" w:cs="Times New Roman" w:eastAsia="Times New Roman"/>
          <w:sz w:val="30"/>
          <w:szCs w:val="30"/>
        </w:rPr>
      </w:pPr>
    </w:p>
    <w:p>
      <w:pPr>
        <w:spacing w:before="235"/>
        <w:ind w:left="4048" w:right="4297" w:firstLine="0"/>
        <w:jc w:val="center"/>
        <w:rPr>
          <w:rFonts w:ascii="宋体" w:hAnsi="宋体" w:cs="宋体" w:eastAsia="宋体"/>
          <w:sz w:val="23"/>
          <w:szCs w:val="23"/>
        </w:rPr>
      </w:pPr>
      <w:r>
        <w:rPr>
          <w:rFonts w:ascii="宋体" w:hAnsi="宋体" w:cs="宋体" w:eastAsia="宋体"/>
          <w:color w:val="6E857B"/>
          <w:sz w:val="23"/>
          <w:szCs w:val="23"/>
        </w:rPr>
        <w:t>教</w:t>
      </w:r>
      <w:r>
        <w:rPr>
          <w:rFonts w:ascii="宋体" w:hAnsi="宋体" w:cs="宋体" w:eastAsia="宋体"/>
          <w:color w:val="6E857B"/>
          <w:spacing w:val="-57"/>
          <w:sz w:val="23"/>
          <w:szCs w:val="23"/>
        </w:rPr>
        <w:t> </w:t>
      </w:r>
      <w:r>
        <w:rPr>
          <w:rFonts w:ascii="宋体" w:hAnsi="宋体" w:cs="宋体" w:eastAsia="宋体"/>
          <w:color w:val="6E857B"/>
          <w:sz w:val="23"/>
          <w:szCs w:val="23"/>
        </w:rPr>
        <w:t>育部</w:t>
      </w:r>
      <w:r>
        <w:rPr>
          <w:rFonts w:ascii="宋体" w:hAnsi="宋体" w:cs="宋体" w:eastAsia="宋体"/>
          <w:color w:val="6E857B"/>
          <w:spacing w:val="-70"/>
          <w:sz w:val="23"/>
          <w:szCs w:val="23"/>
        </w:rPr>
        <w:t> </w:t>
      </w:r>
      <w:r>
        <w:rPr>
          <w:rFonts w:ascii="宋体" w:hAnsi="宋体" w:cs="宋体" w:eastAsia="宋体"/>
          <w:color w:val="6E857B"/>
          <w:sz w:val="23"/>
          <w:szCs w:val="23"/>
        </w:rPr>
        <w:t>高</w:t>
      </w:r>
      <w:r>
        <w:rPr>
          <w:rFonts w:ascii="宋体" w:hAnsi="宋体" w:cs="宋体" w:eastAsia="宋体"/>
          <w:color w:val="6E857B"/>
          <w:spacing w:val="-62"/>
          <w:sz w:val="23"/>
          <w:szCs w:val="23"/>
        </w:rPr>
        <w:t> </w:t>
      </w:r>
      <w:r>
        <w:rPr>
          <w:rFonts w:ascii="宋体" w:hAnsi="宋体" w:cs="宋体" w:eastAsia="宋体"/>
          <w:color w:val="6E857B"/>
          <w:sz w:val="23"/>
          <w:szCs w:val="23"/>
        </w:rPr>
        <w:t>等</w:t>
      </w:r>
      <w:r>
        <w:rPr>
          <w:rFonts w:ascii="宋体" w:hAnsi="宋体" w:cs="宋体" w:eastAsia="宋体"/>
          <w:color w:val="6E857B"/>
          <w:spacing w:val="-65"/>
          <w:sz w:val="23"/>
          <w:szCs w:val="23"/>
        </w:rPr>
        <w:t> </w:t>
      </w:r>
      <w:r>
        <w:rPr>
          <w:rFonts w:ascii="宋体" w:hAnsi="宋体" w:cs="宋体" w:eastAsia="宋体"/>
          <w:color w:val="6E857B"/>
          <w:sz w:val="23"/>
          <w:szCs w:val="23"/>
        </w:rPr>
        <w:t>教</w:t>
      </w:r>
      <w:r>
        <w:rPr>
          <w:rFonts w:ascii="宋体" w:hAnsi="宋体" w:cs="宋体" w:eastAsia="宋体"/>
          <w:color w:val="6E857B"/>
          <w:spacing w:val="-65"/>
          <w:sz w:val="23"/>
          <w:szCs w:val="23"/>
        </w:rPr>
        <w:t> </w:t>
      </w:r>
      <w:r>
        <w:rPr>
          <w:rFonts w:ascii="宋体" w:hAnsi="宋体" w:cs="宋体" w:eastAsia="宋体"/>
          <w:color w:val="6E857B"/>
          <w:spacing w:val="11"/>
          <w:sz w:val="23"/>
          <w:szCs w:val="23"/>
        </w:rPr>
        <w:t>育教</w:t>
      </w:r>
      <w:r>
        <w:rPr>
          <w:rFonts w:ascii="宋体" w:hAnsi="宋体" w:cs="宋体" w:eastAsia="宋体"/>
          <w:color w:val="6E857B"/>
          <w:spacing w:val="-50"/>
          <w:sz w:val="23"/>
          <w:szCs w:val="23"/>
        </w:rPr>
        <w:t> </w:t>
      </w:r>
      <w:r>
        <w:rPr>
          <w:rFonts w:ascii="宋体" w:hAnsi="宋体" w:cs="宋体" w:eastAsia="宋体"/>
          <w:color w:val="6E857B"/>
          <w:sz w:val="23"/>
          <w:szCs w:val="23"/>
        </w:rPr>
        <w:t>学</w:t>
      </w:r>
      <w:r>
        <w:rPr>
          <w:rFonts w:ascii="宋体" w:hAnsi="宋体" w:cs="宋体" w:eastAsia="宋体"/>
          <w:color w:val="6E857B"/>
          <w:spacing w:val="-74"/>
          <w:sz w:val="23"/>
          <w:szCs w:val="23"/>
        </w:rPr>
        <w:t> </w:t>
      </w:r>
      <w:r>
        <w:rPr>
          <w:rFonts w:ascii="宋体" w:hAnsi="宋体" w:cs="宋体" w:eastAsia="宋体"/>
          <w:color w:val="6E857B"/>
          <w:sz w:val="23"/>
          <w:szCs w:val="23"/>
        </w:rPr>
        <w:t>评</w:t>
      </w:r>
      <w:r>
        <w:rPr>
          <w:rFonts w:ascii="宋体" w:hAnsi="宋体" w:cs="宋体" w:eastAsia="宋体"/>
          <w:color w:val="6E857B"/>
          <w:spacing w:val="-59"/>
          <w:sz w:val="23"/>
          <w:szCs w:val="23"/>
        </w:rPr>
        <w:t> </w:t>
      </w:r>
      <w:r>
        <w:rPr>
          <w:rFonts w:ascii="宋体" w:hAnsi="宋体" w:cs="宋体" w:eastAsia="宋体"/>
          <w:color w:val="6E857B"/>
          <w:sz w:val="23"/>
          <w:szCs w:val="23"/>
        </w:rPr>
        <w:t>估</w:t>
      </w:r>
      <w:r>
        <w:rPr>
          <w:rFonts w:ascii="宋体" w:hAnsi="宋体" w:cs="宋体" w:eastAsia="宋体"/>
          <w:color w:val="6E857B"/>
          <w:spacing w:val="-50"/>
          <w:sz w:val="23"/>
          <w:szCs w:val="23"/>
        </w:rPr>
        <w:t> </w:t>
      </w:r>
      <w:r>
        <w:rPr>
          <w:rFonts w:ascii="宋体" w:hAnsi="宋体" w:cs="宋体" w:eastAsia="宋体"/>
          <w:color w:val="6E857B"/>
          <w:spacing w:val="13"/>
          <w:sz w:val="23"/>
          <w:szCs w:val="23"/>
        </w:rPr>
        <w:t>中心</w:t>
      </w:r>
      <w:r>
        <w:rPr>
          <w:rFonts w:ascii="宋体" w:hAnsi="宋体" w:cs="宋体" w:eastAsia="宋体"/>
          <w:spacing w:val="13"/>
          <w:sz w:val="23"/>
          <w:szCs w:val="23"/>
        </w:rPr>
      </w:r>
    </w:p>
    <w:p>
      <w:pPr>
        <w:spacing w:before="69"/>
        <w:ind w:left="4048" w:right="4286" w:firstLine="0"/>
        <w:jc w:val="center"/>
        <w:rPr>
          <w:rFonts w:ascii="宋体" w:hAnsi="宋体" w:cs="宋体" w:eastAsia="宋体"/>
          <w:sz w:val="21"/>
          <w:szCs w:val="21"/>
        </w:rPr>
      </w:pPr>
      <w:r>
        <w:rPr/>
        <w:pict>
          <v:group style="position:absolute;margin-left:0pt;margin-top:54.337414pt;width:594.35pt;height:.1pt;mso-position-horizontal-relative:page;mso-position-vertical-relative:paragraph;z-index:1048" coordorigin="0,1087" coordsize="11887,2">
            <v:shape style="position:absolute;left:0;top:1087;width:11887;height:2" coordorigin="0,1087" coordsize="11887,0" path="m0,1087l11887,1087e" filled="false" stroked="true" strokeweight="1.962593pt" strokecolor="#b8d8cc">
              <v:path arrowok="t"/>
            </v:shape>
            <w10:wrap type="none"/>
          </v:group>
        </w:pict>
      </w:r>
      <w:r>
        <w:rPr>
          <w:rFonts w:ascii="宋体" w:hAnsi="宋体" w:cs="宋体" w:eastAsia="宋体"/>
          <w:color w:val="6E857B"/>
          <w:w w:val="110"/>
          <w:sz w:val="21"/>
          <w:szCs w:val="21"/>
        </w:rPr>
        <w:t>二</w:t>
      </w:r>
      <w:r>
        <w:rPr>
          <w:rFonts w:ascii="宋体" w:hAnsi="宋体" w:cs="宋体" w:eastAsia="宋体"/>
          <w:color w:val="6E857B"/>
          <w:spacing w:val="-70"/>
          <w:w w:val="110"/>
          <w:sz w:val="21"/>
          <w:szCs w:val="21"/>
        </w:rPr>
        <w:t> </w:t>
      </w:r>
      <w:r>
        <w:rPr>
          <w:rFonts w:ascii="Times New Roman" w:hAnsi="Times New Roman" w:cs="Times New Roman" w:eastAsia="Times New Roman"/>
          <w:color w:val="6E857B"/>
          <w:w w:val="110"/>
          <w:sz w:val="27"/>
          <w:szCs w:val="27"/>
        </w:rPr>
        <w:t>O</w:t>
      </w:r>
      <w:r>
        <w:rPr>
          <w:rFonts w:ascii="Times New Roman" w:hAnsi="Times New Roman" w:cs="Times New Roman" w:eastAsia="Times New Roman"/>
          <w:color w:val="6E857B"/>
          <w:spacing w:val="-37"/>
          <w:w w:val="110"/>
          <w:sz w:val="27"/>
          <w:szCs w:val="27"/>
        </w:rPr>
        <w:t> </w:t>
      </w:r>
      <w:r>
        <w:rPr>
          <w:rFonts w:ascii="宋体" w:hAnsi="宋体" w:cs="宋体" w:eastAsia="宋体"/>
          <w:color w:val="6E857B"/>
          <w:w w:val="110"/>
          <w:sz w:val="21"/>
          <w:szCs w:val="21"/>
        </w:rPr>
        <w:t>一</w:t>
      </w:r>
      <w:r>
        <w:rPr>
          <w:rFonts w:ascii="宋体" w:hAnsi="宋体" w:cs="宋体" w:eastAsia="宋体"/>
          <w:color w:val="6E857B"/>
          <w:spacing w:val="-78"/>
          <w:w w:val="110"/>
          <w:sz w:val="21"/>
          <w:szCs w:val="21"/>
        </w:rPr>
        <w:t> </w:t>
      </w:r>
      <w:r>
        <w:rPr>
          <w:rFonts w:ascii="宋体" w:hAnsi="宋体" w:cs="宋体" w:eastAsia="宋体"/>
          <w:color w:val="6E857B"/>
          <w:w w:val="110"/>
          <w:sz w:val="21"/>
          <w:szCs w:val="21"/>
        </w:rPr>
        <w:t>八</w:t>
      </w:r>
      <w:r>
        <w:rPr>
          <w:rFonts w:ascii="宋体" w:hAnsi="宋体" w:cs="宋体" w:eastAsia="宋体"/>
          <w:color w:val="6E857B"/>
          <w:spacing w:val="-76"/>
          <w:w w:val="110"/>
          <w:sz w:val="21"/>
          <w:szCs w:val="21"/>
        </w:rPr>
        <w:t> </w:t>
      </w:r>
      <w:r>
        <w:rPr>
          <w:rFonts w:ascii="宋体" w:hAnsi="宋体" w:cs="宋体" w:eastAsia="宋体"/>
          <w:color w:val="6E857B"/>
          <w:w w:val="110"/>
          <w:sz w:val="21"/>
          <w:szCs w:val="21"/>
        </w:rPr>
        <w:t>年</w:t>
      </w:r>
      <w:r>
        <w:rPr>
          <w:rFonts w:ascii="宋体" w:hAnsi="宋体" w:cs="宋体" w:eastAsia="宋体"/>
          <w:color w:val="6E857B"/>
          <w:spacing w:val="-59"/>
          <w:w w:val="110"/>
          <w:sz w:val="21"/>
          <w:szCs w:val="21"/>
        </w:rPr>
        <w:t> </w:t>
      </w:r>
      <w:r>
        <w:rPr>
          <w:rFonts w:ascii="宋体" w:hAnsi="宋体" w:cs="宋体" w:eastAsia="宋体"/>
          <w:color w:val="6E857B"/>
          <w:w w:val="110"/>
          <w:sz w:val="21"/>
          <w:szCs w:val="21"/>
        </w:rPr>
        <w:t>六</w:t>
      </w:r>
      <w:r>
        <w:rPr>
          <w:rFonts w:ascii="宋体" w:hAnsi="宋体" w:cs="宋体" w:eastAsia="宋体"/>
          <w:color w:val="6E857B"/>
          <w:spacing w:val="-59"/>
          <w:w w:val="110"/>
          <w:sz w:val="21"/>
          <w:szCs w:val="21"/>
        </w:rPr>
        <w:t> </w:t>
      </w:r>
      <w:r>
        <w:rPr>
          <w:rFonts w:ascii="宋体" w:hAnsi="宋体" w:cs="宋体" w:eastAsia="宋体"/>
          <w:color w:val="6E857B"/>
          <w:w w:val="110"/>
          <w:sz w:val="21"/>
          <w:szCs w:val="21"/>
        </w:rPr>
        <w:t>月</w:t>
      </w:r>
      <w:r>
        <w:rPr>
          <w:rFonts w:ascii="宋体" w:hAnsi="宋体" w:cs="宋体" w:eastAsia="宋体"/>
          <w:sz w:val="21"/>
          <w:szCs w:val="21"/>
        </w:rPr>
      </w:r>
    </w:p>
    <w:p>
      <w:pPr>
        <w:spacing w:after="0"/>
        <w:jc w:val="center"/>
        <w:rPr>
          <w:rFonts w:ascii="宋体" w:hAnsi="宋体" w:cs="宋体" w:eastAsia="宋体"/>
          <w:sz w:val="21"/>
          <w:szCs w:val="21"/>
        </w:rPr>
        <w:sectPr>
          <w:type w:val="continuous"/>
          <w:pgSz w:w="11910" w:h="16840"/>
          <w:pgMar w:top="0" w:bottom="0" w:left="0" w:right="0"/>
        </w:sectPr>
      </w:pPr>
    </w:p>
    <w:p>
      <w:pPr>
        <w:spacing w:line="240" w:lineRule="auto" w:before="0"/>
        <w:rPr>
          <w:rFonts w:ascii="宋体" w:hAnsi="宋体" w:cs="宋体" w:eastAsia="宋体"/>
          <w:sz w:val="20"/>
          <w:szCs w:val="20"/>
        </w:rPr>
      </w:pPr>
    </w:p>
    <w:p>
      <w:pPr>
        <w:spacing w:line="240" w:lineRule="auto" w:before="7"/>
        <w:rPr>
          <w:rFonts w:ascii="宋体" w:hAnsi="宋体" w:cs="宋体" w:eastAsia="宋体"/>
          <w:sz w:val="23"/>
          <w:szCs w:val="23"/>
        </w:rPr>
      </w:pPr>
    </w:p>
    <w:p>
      <w:pPr>
        <w:pStyle w:val="BodyText"/>
        <w:spacing w:line="424" w:lineRule="auto"/>
        <w:ind w:right="35" w:firstLine="470"/>
        <w:jc w:val="left"/>
      </w:pPr>
      <w:r>
        <w:rPr/>
        <w:t>本自评报告撰写指导书是专业进行自评工作的参考和依据，请专业按照指导书 </w:t>
      </w:r>
      <w:r>
        <w:rPr>
          <w:spacing w:val="-4"/>
        </w:rPr>
        <w:t>要求对照认证标准逐条自证达成情况，认真梳理存在的主要问题，并提出改进措施。</w:t>
      </w:r>
    </w:p>
    <w:p>
      <w:pPr>
        <w:pStyle w:val="BodyText"/>
        <w:spacing w:line="424" w:lineRule="auto" w:before="65"/>
        <w:ind w:right="239" w:firstLine="470"/>
        <w:jc w:val="both"/>
      </w:pPr>
      <w:r>
        <w:rPr>
          <w:spacing w:val="2"/>
        </w:rPr>
        <w:t>1.报告结构依照认证标准顺序，分成培养目标、毕业要求、课程与教学、合作</w:t>
      </w:r>
      <w:r>
        <w:rPr/>
        <w:t> 与实践、师资队伍、支持条件、质量保障、学生发展等八个部分，每一部分包括达 标情况、主要问题、改进措施三方面内容。</w:t>
      </w:r>
    </w:p>
    <w:p>
      <w:pPr>
        <w:pStyle w:val="BodyText"/>
        <w:spacing w:line="424" w:lineRule="auto" w:before="65"/>
        <w:ind w:right="35" w:firstLine="470"/>
        <w:jc w:val="left"/>
      </w:pPr>
      <w:r>
        <w:rPr>
          <w:spacing w:val="-2"/>
        </w:rPr>
        <w:t>2.报告内容按照指导书要求，紧扣认证标准，逐条用数据和事实举证达成情况、</w:t>
      </w:r>
      <w:r>
        <w:rPr/>
        <w:t> 存在的主要问题及采取的改进措施，总篇幅不超过 5 万字。其中，对主要问题和改</w:t>
      </w:r>
      <w:r>
        <w:rPr>
          <w:spacing w:val="-55"/>
        </w:rPr>
        <w:t> </w:t>
      </w:r>
      <w:r>
        <w:rPr>
          <w:spacing w:val="-55"/>
        </w:rPr>
      </w:r>
      <w:r>
        <w:rPr/>
        <w:t>进措施的描述不少于 1/3，与标准无关内容或不能覆盖全体学生的少数“标志性成</w:t>
      </w:r>
      <w:r>
        <w:rPr>
          <w:spacing w:val="1"/>
        </w:rPr>
        <w:t> </w:t>
      </w:r>
      <w:r>
        <w:rPr>
          <w:spacing w:val="1"/>
        </w:rPr>
      </w:r>
      <w:r>
        <w:rPr/>
        <w:t>果”不列入报告。</w:t>
      </w:r>
    </w:p>
    <w:p>
      <w:pPr>
        <w:pStyle w:val="BodyText"/>
        <w:spacing w:line="424" w:lineRule="auto" w:before="65"/>
        <w:ind w:right="239" w:firstLine="470"/>
        <w:jc w:val="both"/>
      </w:pPr>
      <w:r>
        <w:rPr>
          <w:spacing w:val="-5"/>
        </w:rPr>
        <w:t>3.报告要求明确清晰给出专业“自画像”，强调以问题为导向，专业主动开展自</w:t>
      </w:r>
      <w:r>
        <w:rPr/>
        <w:t> 评自查，发现问题和不足，并采取积极行动整改。对于回避、掩盖问题与不足的专 业，将被要求重新修改自评报告或中止进校考查。</w:t>
      </w:r>
    </w:p>
    <w:p>
      <w:pPr>
        <w:pStyle w:val="BodyText"/>
        <w:spacing w:line="424" w:lineRule="auto" w:before="65"/>
        <w:ind w:right="239" w:firstLine="470"/>
        <w:jc w:val="both"/>
      </w:pPr>
      <w:r>
        <w:rPr>
          <w:spacing w:val="2"/>
        </w:rPr>
        <w:t>4.报告所列举证数据和事实要求客观真实，以学校填报的专业教学基本状态数</w:t>
      </w:r>
      <w:r>
        <w:rPr/>
        <w:t> 据为基础，与《专业教学基本状态数据分析报告》相印证，为认证专家进校开展现 场考查提供有效支撑。</w:t>
      </w:r>
    </w:p>
    <w:p>
      <w:pPr>
        <w:pStyle w:val="BodyText"/>
        <w:spacing w:line="424" w:lineRule="auto" w:before="65"/>
        <w:ind w:right="238" w:firstLine="470"/>
        <w:jc w:val="both"/>
      </w:pPr>
      <w:r>
        <w:rPr>
          <w:spacing w:val="2"/>
        </w:rPr>
        <w:t>5.报告各部分支撑材料清单格式见附录，相应原始教学基本状态数据、教学文</w:t>
      </w:r>
      <w:r>
        <w:rPr/>
        <w:t> 档、教学管理文件、毕业要求和课程评价、问卷调查等放置学校备查。</w:t>
      </w:r>
    </w:p>
    <w:p>
      <w:pPr>
        <w:spacing w:after="0" w:line="424" w:lineRule="auto"/>
        <w:jc w:val="both"/>
        <w:sectPr>
          <w:headerReference w:type="default" r:id="rId6"/>
          <w:pgSz w:w="12240" w:h="15840"/>
          <w:pgMar w:header="773" w:footer="0" w:top="960" w:bottom="280" w:left="1680" w:right="1560"/>
        </w:sect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4"/>
        <w:rPr>
          <w:rFonts w:ascii="华文楷体" w:hAnsi="华文楷体" w:cs="华文楷体" w:eastAsia="华文楷体"/>
          <w:sz w:val="12"/>
          <w:szCs w:val="12"/>
        </w:rPr>
      </w:pPr>
    </w:p>
    <w:p>
      <w:pPr>
        <w:pStyle w:val="Heading2"/>
        <w:spacing w:line="621" w:lineRule="exact"/>
        <w:ind w:left="1041" w:right="1039"/>
        <w:jc w:val="center"/>
      </w:pPr>
      <w:r>
        <w:rPr/>
        <w:t>普通高等学校师范类专业认证</w:t>
      </w:r>
    </w:p>
    <w:p>
      <w:pPr>
        <w:spacing w:before="411"/>
        <w:ind w:left="1039" w:right="1039" w:firstLine="0"/>
        <w:jc w:val="center"/>
        <w:rPr>
          <w:rFonts w:ascii="黑体" w:hAnsi="黑体" w:cs="黑体" w:eastAsia="黑体"/>
          <w:sz w:val="52"/>
          <w:szCs w:val="52"/>
        </w:rPr>
      </w:pPr>
      <w:bookmarkStart w:name="（中学教育第二级）" w:id="1"/>
      <w:bookmarkEnd w:id="1"/>
      <w:r>
        <w:rPr/>
      </w:r>
      <w:r>
        <w:rPr>
          <w:rFonts w:ascii="黑体" w:hAnsi="黑体" w:cs="黑体" w:eastAsia="黑体"/>
          <w:sz w:val="52"/>
          <w:szCs w:val="52"/>
        </w:rPr>
        <w:t>（中学教育第二级）</w:t>
      </w:r>
    </w:p>
    <w:p>
      <w:pPr>
        <w:spacing w:before="250"/>
        <w:ind w:left="1039" w:right="1039" w:firstLine="0"/>
        <w:jc w:val="center"/>
        <w:rPr>
          <w:rFonts w:ascii="黑体" w:hAnsi="黑体" w:cs="黑体" w:eastAsia="黑体"/>
          <w:sz w:val="72"/>
          <w:szCs w:val="72"/>
        </w:rPr>
      </w:pPr>
      <w:bookmarkStart w:name="自评报告" w:id="2"/>
      <w:bookmarkEnd w:id="2"/>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pStyle w:val="Heading4"/>
        <w:spacing w:line="511" w:lineRule="auto"/>
        <w:ind w:left="1514" w:right="5699"/>
        <w:jc w:val="left"/>
        <w:rPr>
          <w:rFonts w:ascii="黑体" w:hAnsi="黑体" w:cs="黑体" w:eastAsia="黑体"/>
          <w:b w:val="0"/>
          <w:bCs w:val="0"/>
        </w:rPr>
      </w:pPr>
      <w:r>
        <w:rPr>
          <w:rFonts w:ascii="黑体" w:hAnsi="黑体" w:cs="黑体" w:eastAsia="黑体"/>
        </w:rPr>
        <w:t>学校：</w:t>
      </w:r>
      <w:r>
        <w:rPr>
          <w:rFonts w:ascii="黑体" w:hAnsi="黑体" w:cs="黑体" w:eastAsia="黑体"/>
          <w:w w:val="99"/>
        </w:rPr>
        <w:t> </w:t>
      </w:r>
      <w:r>
        <w:rPr>
          <w:rFonts w:ascii="黑体" w:hAnsi="黑体" w:cs="黑体" w:eastAsia="黑体"/>
        </w:rPr>
        <w:t>专业：</w:t>
      </w:r>
      <w:r>
        <w:rPr>
          <w:rFonts w:ascii="黑体" w:hAnsi="黑体" w:cs="黑体" w:eastAsia="黑体"/>
          <w:w w:val="99"/>
        </w:rPr>
        <w:t> </w:t>
      </w:r>
      <w:r>
        <w:rPr>
          <w:rFonts w:ascii="黑体" w:hAnsi="黑体" w:cs="黑体" w:eastAsia="黑体"/>
          <w:w w:val="95"/>
        </w:rPr>
        <w:t>完成时间：</w:t>
      </w:r>
      <w:r>
        <w:rPr>
          <w:rFonts w:ascii="黑体" w:hAnsi="黑体" w:cs="黑体" w:eastAsia="黑体"/>
          <w:spacing w:val="-69"/>
          <w:w w:val="95"/>
        </w:rPr>
        <w:t> </w:t>
      </w:r>
      <w:r>
        <w:rPr>
          <w:rFonts w:ascii="黑体" w:hAnsi="黑体" w:cs="黑体" w:eastAsia="黑体"/>
          <w:spacing w:val="-69"/>
          <w:w w:val="95"/>
        </w:rPr>
      </w:r>
      <w:r>
        <w:rPr>
          <w:rFonts w:ascii="黑体" w:hAnsi="黑体" w:cs="黑体" w:eastAsia="黑体"/>
          <w:w w:val="95"/>
        </w:rPr>
        <w:t>联系电话：</w:t>
      </w:r>
      <w:r>
        <w:rPr>
          <w:rFonts w:ascii="黑体" w:hAnsi="黑体" w:cs="黑体" w:eastAsia="黑体"/>
          <w:spacing w:val="-69"/>
          <w:w w:val="95"/>
        </w:rPr>
        <w:t> </w:t>
      </w:r>
      <w:r>
        <w:rPr>
          <w:rFonts w:ascii="黑体" w:hAnsi="黑体" w:cs="黑体" w:eastAsia="黑体"/>
          <w:spacing w:val="-69"/>
          <w:w w:val="95"/>
        </w:rPr>
      </w:r>
      <w:r>
        <w:rPr>
          <w:rFonts w:ascii="黑体" w:hAnsi="黑体" w:cs="黑体" w:eastAsia="黑体"/>
        </w:rPr>
        <w:t>电子邮件</w:t>
      </w:r>
      <w:r>
        <w:rPr>
          <w:rFonts w:ascii="黑体" w:hAnsi="黑体" w:cs="黑体" w:eastAsia="黑体"/>
          <w:b w:val="0"/>
          <w:bCs w:val="0"/>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3"/>
      <w:bookmarkEnd w:id="3"/>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4"/>
      <w:bookmarkEnd w:id="4"/>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5"/>
      <w:bookmarkEnd w:id="5"/>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5"/>
        <w:jc w:val="both"/>
        <w:rPr>
          <w:rFonts w:ascii="微软雅黑" w:hAnsi="微软雅黑" w:cs="微软雅黑" w:eastAsia="微软雅黑"/>
        </w:rPr>
      </w:pPr>
      <w:r>
        <w:rPr>
          <w:rFonts w:ascii="微软雅黑" w:hAnsi="微软雅黑" w:cs="微软雅黑" w:eastAsia="微软雅黑"/>
        </w:rPr>
        <w:t>1.1 [目标定位] 培养目标应贯彻党的教育方针，面向国家、地区基础教育改革发展 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7"/>
          <w:pgSz w:w="12240" w:h="15840"/>
          <w:pgMar w:footer="918" w:header="773" w:top="960" w:bottom="110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0"/>
        <w:rPr>
          <w:rFonts w:ascii="华文楷体" w:hAnsi="华文楷体" w:cs="华文楷体" w:eastAsia="华文楷体"/>
          <w:sz w:val="24"/>
          <w:szCs w:val="24"/>
        </w:rPr>
      </w:pPr>
    </w:p>
    <w:p>
      <w:pPr>
        <w:spacing w:line="240" w:lineRule="auto" w:before="11"/>
        <w:rPr>
          <w:rFonts w:ascii="华文楷体" w:hAnsi="华文楷体" w:cs="华文楷体" w:eastAsia="华文楷体"/>
          <w:sz w:val="16"/>
          <w:szCs w:val="16"/>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 [目标内涵] 培养目标内容明确清晰，反映师范生毕业后 5</w:t>
      </w:r>
      <w:r>
        <w:rPr>
          <w:rFonts w:ascii="微软雅黑" w:hAnsi="微软雅黑" w:cs="微软雅黑" w:eastAsia="微软雅黑"/>
          <w:spacing w:val="-38"/>
        </w:rPr>
        <w:t> </w:t>
      </w:r>
      <w:r>
        <w:rPr>
          <w:rFonts w:ascii="微软雅黑" w:hAnsi="微软雅黑" w:cs="微软雅黑" w:eastAsia="微软雅黑"/>
        </w:rPr>
        <w:t>年左右在社会和专业</w:t>
      </w:r>
      <w:r>
        <w:rPr>
          <w:rFonts w:ascii="微软雅黑" w:hAnsi="微软雅黑" w:cs="微软雅黑" w:eastAsia="微软雅黑"/>
        </w:rPr>
        <w:t> 领域的发展预期，体现专业特色和优势，并能够为师范生、教师、教学管理人员及 其他利益相关方所理解和认同。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③描述并举证说明专业采取多种途径让培养目标能够为本专业师范生、教师、教学 管理人员及其他利益相关方接受、认同。</w:t>
      </w:r>
    </w:p>
    <w:p>
      <w:pPr>
        <w:spacing w:line="240" w:lineRule="auto" w:before="6"/>
        <w:rPr>
          <w:rFonts w:ascii="华文楷体" w:hAnsi="华文楷体" w:cs="华文楷体" w:eastAsia="华文楷体"/>
          <w:sz w:val="26"/>
          <w:szCs w:val="26"/>
        </w:rPr>
      </w:pPr>
    </w:p>
    <w:p>
      <w:pPr>
        <w:pStyle w:val="BodyText"/>
        <w:spacing w:line="240" w:lineRule="auto"/>
        <w:ind w:right="355"/>
        <w:jc w:val="both"/>
        <w:rPr>
          <w:rFonts w:ascii="微软雅黑" w:hAnsi="微软雅黑" w:cs="微软雅黑" w:eastAsia="微软雅黑"/>
        </w:rPr>
      </w:pPr>
      <w:r>
        <w:rPr>
          <w:rFonts w:ascii="微软雅黑" w:hAnsi="微软雅黑" w:cs="微软雅黑" w:eastAsia="微软雅黑"/>
        </w:rPr>
        <w:t>1.3 [目标评价] 定期对培养目标的合理性进行评价，并能够根据评价结果对培养目 标进行必要修订。评价和修订过程应有利益相关方参与。</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pStyle w:val="BodyText"/>
        <w:spacing w:line="424" w:lineRule="auto" w:before="185"/>
        <w:ind w:right="359"/>
        <w:jc w:val="both"/>
      </w:pPr>
      <w:r>
        <w:rPr/>
        <w:t>③描述说明师范生、教师、教学管理人员和用人单位及其他利益相关方参与专业培 养目标评价和修订过程情况。</w:t>
      </w:r>
    </w:p>
    <w:p>
      <w:pPr>
        <w:spacing w:after="0" w:line="424" w:lineRule="auto"/>
        <w:jc w:val="both"/>
        <w:sectPr>
          <w:pgSz w:w="12240" w:h="15840"/>
          <w:pgMar w:header="773" w:footer="918" w:top="960" w:bottom="1100" w:left="1680" w:right="144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right="35"/>
        <w:jc w:val="left"/>
        <w:rPr>
          <w:b w:val="0"/>
          <w:bCs w:val="0"/>
        </w:rPr>
      </w:pPr>
      <w:bookmarkStart w:name="第二部分：主要问题" w:id="6"/>
      <w:bookmarkEnd w:id="6"/>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35"/>
        <w:jc w:val="left"/>
        <w:rPr>
          <w:b w:val="0"/>
          <w:bCs w:val="0"/>
        </w:rPr>
      </w:pPr>
      <w:bookmarkStart w:name="第三部分：改进措施" w:id="7"/>
      <w:bookmarkEnd w:id="7"/>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35"/>
        <w:jc w:val="left"/>
        <w:rPr>
          <w:b w:val="0"/>
          <w:bCs w:val="0"/>
        </w:rPr>
      </w:pPr>
      <w:bookmarkStart w:name="标准2毕业要求" w:id="8"/>
      <w:bookmarkEnd w:id="8"/>
      <w:r>
        <w:rPr>
          <w:b w:val="0"/>
          <w:bCs w:val="0"/>
        </w:rPr>
      </w:r>
      <w:r>
        <w:rPr/>
        <w:t>标准 2</w:t>
      </w:r>
      <w:r>
        <w:rPr>
          <w:spacing w:val="-32"/>
        </w:rPr>
        <w:t> </w:t>
      </w:r>
      <w:r>
        <w:rPr/>
        <w:t>毕业要求</w:t>
      </w:r>
      <w:r>
        <w:rPr>
          <w:b w:val="0"/>
          <w:bCs w:val="0"/>
        </w:rPr>
      </w:r>
    </w:p>
    <w:p>
      <w:pPr>
        <w:spacing w:line="240" w:lineRule="auto" w:before="12"/>
        <w:rPr>
          <w:rFonts w:ascii="微软雅黑" w:hAnsi="微软雅黑" w:cs="微软雅黑" w:eastAsia="微软雅黑"/>
          <w:b/>
          <w:bCs/>
          <w:sz w:val="23"/>
          <w:szCs w:val="23"/>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专业应根据中学教师专业标准，制定明确、公开的毕业要求。毕业要求能够支撑培 </w:t>
      </w:r>
      <w:r>
        <w:rPr>
          <w:rFonts w:ascii="微软雅黑" w:hAnsi="微软雅黑" w:cs="微软雅黑" w:eastAsia="微软雅黑"/>
          <w:spacing w:val="-4"/>
        </w:rPr>
        <w:t>养目标，并在师范生培养全过程中分解落实。专业应通过评价证明毕业要求的达成。</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专业制定的毕业要求应涵盖以下内容：</w:t>
      </w:r>
    </w:p>
    <w:p>
      <w:pPr>
        <w:pStyle w:val="BodyText"/>
        <w:tabs>
          <w:tab w:pos="539" w:val="left" w:leader="none"/>
        </w:tabs>
        <w:spacing w:line="411"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践行师德</w:t>
      </w:r>
    </w:p>
    <w:p>
      <w:pPr>
        <w:pStyle w:val="BodyText"/>
        <w:spacing w:line="237" w:lineRule="auto" w:before="1"/>
        <w:ind w:right="235"/>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践行社会主义核心价值观，增进对中国特色社会主义的思想认同、 政治认同、理论认同和情感认同。贯彻党的教育方针，以立德树人为己任。遵守中 小学教师职业道德规范，具有依法执教意识，立志成为有理想信念、有道德情操、 有扎实学识、有仁爱之心的好老师。</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2.2</w:t>
      </w:r>
      <w:r>
        <w:rPr>
          <w:rFonts w:ascii="微软雅黑" w:hAnsi="微软雅黑" w:cs="微软雅黑" w:eastAsia="微软雅黑"/>
          <w:spacing w:val="4"/>
        </w:rPr>
        <w:t> </w:t>
      </w:r>
      <w:r>
        <w:rPr>
          <w:rFonts w:ascii="微软雅黑" w:hAnsi="微软雅黑" w:cs="微软雅黑" w:eastAsia="微软雅黑"/>
        </w:rPr>
        <w:t>[教育情怀]</w:t>
      </w:r>
      <w:r>
        <w:rPr>
          <w:rFonts w:ascii="微软雅黑" w:hAnsi="微软雅黑" w:cs="微软雅黑" w:eastAsia="微软雅黑"/>
          <w:spacing w:val="59"/>
        </w:rPr>
        <w:t> </w:t>
      </w:r>
      <w:r>
        <w:rPr>
          <w:rFonts w:ascii="微软雅黑" w:hAnsi="微软雅黑" w:cs="微软雅黑" w:eastAsia="微软雅黑"/>
        </w:rPr>
        <w:t>具有从教意愿，认同教师工作的意义和专业性，具有积极的情感、</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端正的态度、正确的价值观。具有人文底蕴和科学精神，尊重学生人格，富有爱心、</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责任心，工作细心、耐心，做学生锤炼品格、学习知识、创新思维、奉献祖国的引 路人。</w:t>
      </w:r>
    </w:p>
    <w:p>
      <w:pPr>
        <w:pStyle w:val="BodyText"/>
        <w:tabs>
          <w:tab w:pos="539" w:val="left" w:leader="none"/>
        </w:tabs>
        <w:spacing w:line="410"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学会教学</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2.3 [学科素养] 掌握所教学科的基本知识、基本原理和基本技能，理解学科知识体 系基本思想和方法。了解所教学科与其他学科的联系，了解所教学科与社会实践的 联系，对学习科学相关知识有一定的了解。</w:t>
      </w:r>
    </w:p>
    <w:p>
      <w:pPr>
        <w:pStyle w:val="BodyText"/>
        <w:spacing w:line="412" w:lineRule="exact" w:before="18"/>
        <w:ind w:right="35"/>
        <w:jc w:val="left"/>
        <w:rPr>
          <w:rFonts w:ascii="微软雅黑" w:hAnsi="微软雅黑" w:cs="微软雅黑" w:eastAsia="微软雅黑"/>
        </w:rPr>
      </w:pPr>
      <w:r>
        <w:rPr>
          <w:rFonts w:ascii="微软雅黑" w:hAnsi="微软雅黑" w:cs="微软雅黑" w:eastAsia="微软雅黑"/>
        </w:rPr>
        <w:t>2.4 [教学能力] 在教育实践中，能够依据所教学科课程标准，针对中学生身心发展 和学科认知特点，运用学科教学知识和信息技术，进行教学设计、实施和评价，获</w:t>
      </w:r>
    </w:p>
    <w:p>
      <w:pPr>
        <w:spacing w:after="0" w:line="412" w:lineRule="exact"/>
        <w:jc w:val="left"/>
        <w:rPr>
          <w:rFonts w:ascii="微软雅黑" w:hAnsi="微软雅黑" w:cs="微软雅黑" w:eastAsia="微软雅黑"/>
        </w:rPr>
        <w:sectPr>
          <w:pgSz w:w="12240" w:h="15840"/>
          <w:pgMar w:header="773" w:footer="918" w:top="960" w:bottom="1100" w:left="1680" w:right="156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得教学体验，具备教学基本技能，具有初步的教学能力和一定的教学研究能力。</w:t>
      </w:r>
    </w:p>
    <w:p>
      <w:pPr>
        <w:pStyle w:val="BodyText"/>
        <w:spacing w:line="412"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学会育人</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2.5 [班级指导] 树立德育为先理念，了解中学德育原理与方法。掌握班级组织与建 设的工作规律和基本方法。能够在班主任工作实践中，参与德育和心理健康教育等 教育活动的组织与指导，获得积极体验。</w:t>
      </w:r>
    </w:p>
    <w:p>
      <w:pPr>
        <w:pStyle w:val="BodyText"/>
        <w:spacing w:line="237" w:lineRule="auto"/>
        <w:ind w:right="235"/>
        <w:jc w:val="both"/>
        <w:rPr>
          <w:rFonts w:ascii="微软雅黑" w:hAnsi="微软雅黑" w:cs="微软雅黑" w:eastAsia="微软雅黑"/>
        </w:rPr>
      </w:pPr>
      <w:r>
        <w:rPr>
          <w:rFonts w:ascii="微软雅黑" w:hAnsi="微软雅黑" w:cs="微软雅黑" w:eastAsia="微软雅黑"/>
        </w:rPr>
        <w:t>2.6 [综合育人] 了解中学生身心发展和养成教育规律。理解学科育人价值，能够有 机结合学科教学进行育人活动。了解学校文化和教育活动的育人内涵和方法，参与 组织主题教育和社团活动，对学生进行教育和引导。</w:t>
      </w:r>
    </w:p>
    <w:p>
      <w:pPr>
        <w:pStyle w:val="BodyText"/>
        <w:spacing w:line="413"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学会发展</w:t>
      </w:r>
    </w:p>
    <w:p>
      <w:pPr>
        <w:pStyle w:val="BodyText"/>
        <w:spacing w:line="237" w:lineRule="auto" w:before="2"/>
        <w:ind w:right="35"/>
        <w:jc w:val="left"/>
        <w:rPr>
          <w:rFonts w:ascii="微软雅黑" w:hAnsi="微软雅黑" w:cs="微软雅黑" w:eastAsia="微软雅黑"/>
        </w:rPr>
      </w:pPr>
      <w:r>
        <w:rPr>
          <w:rFonts w:ascii="微软雅黑" w:hAnsi="微软雅黑" w:cs="微软雅黑" w:eastAsia="微软雅黑"/>
        </w:rPr>
        <w:t>2.7 [学会反思]</w:t>
      </w:r>
      <w:r>
        <w:rPr>
          <w:rFonts w:ascii="微软雅黑" w:hAnsi="微软雅黑" w:cs="微软雅黑" w:eastAsia="微软雅黑"/>
          <w:spacing w:val="46"/>
        </w:rPr>
        <w:t> </w:t>
      </w:r>
      <w:r>
        <w:rPr>
          <w:rFonts w:ascii="微软雅黑" w:hAnsi="微软雅黑" w:cs="微软雅黑" w:eastAsia="微软雅黑"/>
          <w:spacing w:val="-3"/>
        </w:rPr>
        <w:t>具有终身学习与专业发展意识。了解国内外基础教育改革发展动态，</w:t>
      </w:r>
      <w:r>
        <w:rPr>
          <w:rFonts w:ascii="微软雅黑" w:hAnsi="微软雅黑" w:cs="微软雅黑" w:eastAsia="微软雅黑"/>
        </w:rPr>
        <w:t> 能够适应时代和教育发展需求，进行学习和职业生涯规划。初步掌握反思方法和技 能，具有一定创新意识，运用批判性思维方法，学会分析和解决教育教学问题。</w:t>
      </w:r>
    </w:p>
    <w:p>
      <w:pPr>
        <w:pStyle w:val="BodyText"/>
        <w:spacing w:line="412" w:lineRule="exact" w:before="18"/>
        <w:ind w:right="235"/>
        <w:jc w:val="both"/>
        <w:rPr>
          <w:rFonts w:ascii="微软雅黑" w:hAnsi="微软雅黑" w:cs="微软雅黑" w:eastAsia="微软雅黑"/>
        </w:rPr>
      </w:pPr>
      <w:r>
        <w:rPr>
          <w:rFonts w:ascii="微软雅黑" w:hAnsi="微软雅黑" w:cs="微软雅黑" w:eastAsia="微软雅黑"/>
        </w:rPr>
        <w:t>2.8 [沟通合作] 理解学习共同体的作用，具有团队协作精神，掌握沟通合作技能， 具有小组互助和合作学习体验。</w:t>
      </w:r>
    </w:p>
    <w:p>
      <w:pPr>
        <w:spacing w:line="240" w:lineRule="auto" w:before="0"/>
        <w:rPr>
          <w:rFonts w:ascii="微软雅黑" w:hAnsi="微软雅黑" w:cs="微软雅黑" w:eastAsia="微软雅黑"/>
          <w:sz w:val="24"/>
          <w:szCs w:val="24"/>
        </w:rPr>
      </w:pPr>
    </w:p>
    <w:p>
      <w:pPr>
        <w:spacing w:line="240" w:lineRule="auto" w:before="15"/>
        <w:rPr>
          <w:rFonts w:ascii="微软雅黑" w:hAnsi="微软雅黑" w:cs="微软雅黑" w:eastAsia="微软雅黑"/>
          <w:sz w:val="16"/>
          <w:szCs w:val="16"/>
        </w:rPr>
      </w:pPr>
    </w:p>
    <w:p>
      <w:pPr>
        <w:pStyle w:val="Heading5"/>
        <w:spacing w:line="240" w:lineRule="auto"/>
        <w:ind w:right="0"/>
        <w:jc w:val="both"/>
        <w:rPr>
          <w:b w:val="0"/>
          <w:bCs w:val="0"/>
        </w:rPr>
      </w:pPr>
      <w:bookmarkStart w:name="第一部分：达标情况" w:id="9"/>
      <w:bookmarkEnd w:id="9"/>
      <w:r>
        <w:rPr>
          <w:b w:val="0"/>
          <w:bCs w:val="0"/>
        </w:rPr>
      </w:r>
      <w:r>
        <w:rPr/>
        <w:t>第一部分：达标情况</w:t>
      </w:r>
      <w:r>
        <w:rPr>
          <w:b w:val="0"/>
          <w:bCs w:val="0"/>
        </w:rPr>
      </w:r>
    </w:p>
    <w:p>
      <w:pPr>
        <w:pStyle w:val="BodyText"/>
        <w:spacing w:line="312" w:lineRule="exact" w:before="148"/>
        <w:ind w:right="23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9"/>
        <w:ind w:left="120" w:right="0" w:firstLine="0"/>
        <w:jc w:val="both"/>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1"/>
        <w:rPr>
          <w:rFonts w:ascii="华文楷体" w:hAnsi="华文楷体" w:cs="华文楷体" w:eastAsia="华文楷体"/>
          <w:sz w:val="16"/>
          <w:szCs w:val="16"/>
        </w:rPr>
      </w:pPr>
    </w:p>
    <w:p>
      <w:pPr>
        <w:pStyle w:val="BodyText"/>
        <w:spacing w:line="240" w:lineRule="auto"/>
        <w:ind w:right="0"/>
        <w:jc w:val="both"/>
      </w:pPr>
      <w:r>
        <w:rPr/>
        <w:t>②列表说明专业毕业要求对专业培养目标的对应支撑情况并进行分析。</w:t>
      </w:r>
    </w:p>
    <w:p>
      <w:pPr>
        <w:spacing w:line="240" w:lineRule="auto" w:before="2"/>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4"/>
        <w:rPr>
          <w:rFonts w:ascii="华文楷体" w:hAnsi="华文楷体" w:cs="华文楷体" w:eastAsia="华文楷体"/>
          <w:sz w:val="28"/>
          <w:szCs w:val="28"/>
        </w:rPr>
      </w:pPr>
    </w:p>
    <w:p>
      <w:pPr>
        <w:pStyle w:val="BodyText"/>
        <w:spacing w:line="424" w:lineRule="auto"/>
        <w:ind w:right="35"/>
        <w:jc w:val="left"/>
      </w:pPr>
      <w:r>
        <w:rPr/>
        <w:t>③列表说明专业毕业要求对认证标准“毕业要求”8</w:t>
      </w:r>
      <w:r>
        <w:rPr>
          <w:spacing w:val="-11"/>
        </w:rPr>
        <w:t> </w:t>
      </w:r>
      <w:r>
        <w:rPr>
          <w:spacing w:val="-3"/>
        </w:rPr>
        <w:t>条（2.1-2.8）的覆盖情况并进行</w:t>
      </w:r>
      <w:r>
        <w:rPr/>
        <w:t> </w:t>
      </w:r>
      <w:r>
        <w:rPr>
          <w:spacing w:val="-6"/>
        </w:rPr>
        <w:t>分析（专业不宜照搬这 </w:t>
      </w:r>
      <w:r>
        <w:rPr/>
        <w:t>8</w:t>
      </w:r>
      <w:r>
        <w:rPr>
          <w:spacing w:val="29"/>
        </w:rPr>
        <w:t> </w:t>
      </w:r>
      <w:r>
        <w:rPr>
          <w:spacing w:val="-3"/>
        </w:rPr>
        <w:t>条要求，而应结合本专业培养目标制定出自己的毕业要求，</w:t>
      </w:r>
    </w:p>
    <w:p>
      <w:pPr>
        <w:spacing w:after="0" w:line="424" w:lineRule="auto"/>
        <w:jc w:val="left"/>
        <w:sectPr>
          <w:headerReference w:type="default" r:id="rId8"/>
          <w:footerReference w:type="default" r:id="rId9"/>
          <w:pgSz w:w="12240" w:h="15840"/>
          <w:pgMar w:header="0" w:footer="918" w:top="880" w:bottom="1100" w:left="1680" w:right="1560"/>
          <w:pgNumType w:start="4"/>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t>并在广度、深度和程度上完全覆盖认证标准 8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2044" w:right="35"/>
        <w:jc w:val="left"/>
      </w:pPr>
      <w:r>
        <w:rPr/>
        <w:t>专业毕业要求与认证标准毕业要求 8</w:t>
      </w:r>
      <w:r>
        <w:rPr>
          <w:spacing w:val="-3"/>
        </w:rPr>
        <w:t> </w:t>
      </w:r>
      <w:r>
        <w:rPr/>
        <w:t>条对照表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pStyle w:val="BodyText"/>
        <w:spacing w:line="240" w:lineRule="auto" w:before="65"/>
        <w:ind w:left="2640" w:right="35"/>
        <w:jc w:val="left"/>
      </w:pPr>
      <w:r>
        <w:rPr/>
        <w:t>最近一次毕业要求达成评价结果表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before="1"/>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0"/>
        <w:rPr>
          <w:rFonts w:ascii="华文楷体" w:hAnsi="华文楷体" w:cs="华文楷体" w:eastAsia="华文楷体"/>
          <w:sz w:val="19"/>
          <w:szCs w:val="19"/>
        </w:rPr>
      </w:pPr>
    </w:p>
    <w:p>
      <w:pPr>
        <w:pStyle w:val="Heading5"/>
        <w:spacing w:line="355" w:lineRule="exact"/>
        <w:ind w:right="35"/>
        <w:jc w:val="left"/>
        <w:rPr>
          <w:b w:val="0"/>
          <w:bCs w:val="0"/>
        </w:rPr>
      </w:pPr>
      <w:bookmarkStart w:name="第二部分：主要问题" w:id="10"/>
      <w:bookmarkEnd w:id="10"/>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after="0" w:line="312" w:lineRule="exact"/>
        <w:jc w:val="left"/>
        <w:rPr>
          <w:rFonts w:ascii="楷体" w:hAnsi="楷体" w:cs="楷体" w:eastAsia="楷体"/>
        </w:rPr>
        <w:sectPr>
          <w:headerReference w:type="default" r:id="rId10"/>
          <w:pgSz w:w="12240" w:h="15840"/>
          <w:pgMar w:header="773" w:footer="918" w:top="960" w:bottom="1100" w:left="1680" w:right="1560"/>
        </w:sect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24"/>
          <w:szCs w:val="24"/>
        </w:rPr>
      </w:pPr>
    </w:p>
    <w:p>
      <w:pPr>
        <w:pStyle w:val="Heading5"/>
        <w:spacing w:line="355" w:lineRule="exact"/>
        <w:ind w:left="220" w:right="0"/>
        <w:jc w:val="both"/>
        <w:rPr>
          <w:b w:val="0"/>
          <w:bCs w:val="0"/>
        </w:rPr>
      </w:pPr>
      <w:bookmarkStart w:name="第三部分：改进措施" w:id="11"/>
      <w:bookmarkEnd w:id="11"/>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left="220" w:right="2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left="220" w:right="0"/>
        <w:jc w:val="both"/>
        <w:rPr>
          <w:b w:val="0"/>
          <w:bCs w:val="0"/>
        </w:rPr>
      </w:pPr>
      <w:bookmarkStart w:name="标准3课程与教学" w:id="12"/>
      <w:bookmarkEnd w:id="12"/>
      <w:r>
        <w:rPr>
          <w:b w:val="0"/>
          <w:bCs w:val="0"/>
        </w:rPr>
      </w:r>
      <w:r>
        <w:rPr/>
        <w:t>标准 3</w:t>
      </w:r>
      <w:r>
        <w:rPr>
          <w:spacing w:val="-32"/>
        </w:rPr>
        <w:t> </w:t>
      </w:r>
      <w:r>
        <w:rPr/>
        <w:t>课程与教学</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left="220" w:right="0"/>
        <w:jc w:val="both"/>
        <w:rPr>
          <w:b w:val="0"/>
          <w:bCs w:val="0"/>
        </w:rPr>
      </w:pPr>
      <w:bookmarkStart w:name="第一部分：达标情况" w:id="13"/>
      <w:bookmarkEnd w:id="1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2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left="220" w:right="215"/>
        <w:jc w:val="both"/>
        <w:rPr>
          <w:rFonts w:ascii="微软雅黑" w:hAnsi="微软雅黑" w:cs="微软雅黑" w:eastAsia="微软雅黑"/>
        </w:rPr>
      </w:pPr>
      <w:r>
        <w:rPr>
          <w:rFonts w:ascii="微软雅黑" w:hAnsi="微软雅黑" w:cs="微软雅黑" w:eastAsia="微软雅黑"/>
        </w:rPr>
        <w:t>3.1</w:t>
      </w:r>
      <w:r>
        <w:rPr>
          <w:rFonts w:ascii="微软雅黑" w:hAnsi="微软雅黑" w:cs="微软雅黑" w:eastAsia="微软雅黑"/>
          <w:spacing w:val="13"/>
        </w:rPr>
        <w:t> </w:t>
      </w:r>
      <w:r>
        <w:rPr>
          <w:rFonts w:ascii="微软雅黑" w:hAnsi="微软雅黑" w:cs="微软雅黑" w:eastAsia="微软雅黑"/>
          <w:spacing w:val="-3"/>
        </w:rPr>
        <w:t>[课程设置]课程设置应符合中学教师专业标准和教师教育课程标准要求，跟踪对</w:t>
      </w:r>
      <w:r>
        <w:rPr>
          <w:rFonts w:ascii="微软雅黑" w:hAnsi="微软雅黑" w:cs="微软雅黑" w:eastAsia="微软雅黑"/>
          <w:spacing w:val="-69"/>
        </w:rPr>
        <w:t> </w:t>
      </w:r>
      <w:r>
        <w:rPr>
          <w:rFonts w:ascii="微软雅黑" w:hAnsi="微软雅黑" w:cs="微软雅黑" w:eastAsia="微软雅黑"/>
          <w:spacing w:val="-69"/>
        </w:rPr>
      </w:r>
      <w:r>
        <w:rPr>
          <w:rFonts w:ascii="微软雅黑" w:hAnsi="微软雅黑" w:cs="微软雅黑" w:eastAsia="微软雅黑"/>
        </w:rPr>
        <w:t>接基础教育课程改革前沿，能够支撑毕业要求达成。</w:t>
      </w:r>
    </w:p>
    <w:p>
      <w:pPr>
        <w:spacing w:line="240" w:lineRule="auto" w:before="4"/>
        <w:rPr>
          <w:rFonts w:ascii="微软雅黑" w:hAnsi="微软雅黑" w:cs="微软雅黑" w:eastAsia="微软雅黑"/>
          <w:sz w:val="14"/>
          <w:szCs w:val="14"/>
        </w:rPr>
      </w:pPr>
    </w:p>
    <w:p>
      <w:pPr>
        <w:pStyle w:val="BodyText"/>
        <w:spacing w:line="424" w:lineRule="auto"/>
        <w:ind w:left="220" w:right="219"/>
        <w:jc w:val="both"/>
        <w:rPr>
          <w:rFonts w:ascii="华文楷体" w:hAnsi="华文楷体" w:cs="华文楷体" w:eastAsia="华文楷体"/>
        </w:rPr>
      </w:pPr>
      <w:r>
        <w:rPr/>
        <w:t>①</w:t>
      </w:r>
      <w:r>
        <w:rPr>
          <w:spacing w:val="19"/>
        </w:rPr>
        <w:t> </w:t>
      </w:r>
      <w:r>
        <w:rPr>
          <w:spacing w:val="-4"/>
        </w:rPr>
        <w:t>描述说明现行培养方案中课程体系整体架构与特点，学分认定的规则。展示现行</w:t>
      </w:r>
      <w:r>
        <w:rPr/>
        <w:t> 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pStyle w:val="BodyText"/>
        <w:spacing w:line="424" w:lineRule="auto" w:before="185"/>
        <w:ind w:left="220" w:right="219"/>
        <w:jc w:val="both"/>
      </w:pPr>
      <w:r>
        <w:rPr/>
        <w:pict>
          <v:shape style="position:absolute;margin-left:84.360001pt;margin-top:66.877495pt;width:443.55pt;height:159pt;mso-position-horizontal-relative:page;mso-position-vertical-relative:paragraph;z-index:109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after="0" w:line="242" w:lineRule="auto"/>
        <w:jc w:val="left"/>
        <w:rPr>
          <w:rFonts w:ascii="华文楷体" w:hAnsi="华文楷体" w:cs="华文楷体" w:eastAsia="华文楷体"/>
          <w:sz w:val="21"/>
          <w:szCs w:val="21"/>
        </w:rPr>
        <w:sectPr>
          <w:pgSz w:w="12240" w:h="15840"/>
          <w:pgMar w:header="773" w:footer="918" w:top="960" w:bottom="1100" w:left="1580" w:right="15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③列表说明课程体系设置符合中学教师专业标准、教师教育课程标准和专业教学相 关标准要求，跟踪对接国际基础教育改革新趋势、新动向情况，及用于支撑专业培 养目标特色和优势的课程情况并进行分析。</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3.2 [课程结构] 课程结构体现通识教育、学科专业教育与教师教育有机结合；理论 课程与实践课程、必修课与选修课设置合理。各类课程学分比例恰当，通识教育课 程中的人文社会与科学素养课程学分不低于总学分的</w:t>
      </w:r>
      <w:r>
        <w:rPr>
          <w:rFonts w:ascii="微软雅黑" w:hAnsi="微软雅黑" w:cs="微软雅黑" w:eastAsia="微软雅黑"/>
          <w:spacing w:val="-7"/>
        </w:rPr>
        <w:t> </w:t>
      </w:r>
      <w:r>
        <w:rPr>
          <w:rFonts w:ascii="微软雅黑" w:hAnsi="微软雅黑" w:cs="微软雅黑" w:eastAsia="微软雅黑"/>
          <w:spacing w:val="-6"/>
        </w:rPr>
        <w:t>10%，学科专业课程学分不低</w:t>
      </w:r>
      <w:r>
        <w:rPr>
          <w:rFonts w:ascii="微软雅黑" w:hAnsi="微软雅黑" w:cs="微软雅黑" w:eastAsia="微软雅黑"/>
        </w:rPr>
        <w:t> 于总学分的</w:t>
      </w:r>
      <w:r>
        <w:rPr>
          <w:rFonts w:ascii="微软雅黑" w:hAnsi="微软雅黑" w:cs="微软雅黑" w:eastAsia="微软雅黑"/>
          <w:spacing w:val="-16"/>
        </w:rPr>
        <w:t> </w:t>
      </w:r>
      <w:r>
        <w:rPr>
          <w:rFonts w:ascii="微软雅黑" w:hAnsi="微软雅黑" w:cs="微软雅黑" w:eastAsia="微软雅黑"/>
        </w:rPr>
        <w:t>50%，教师教育课程达到教师教育课程标准规定的学分要求。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②描述说明各类课程设置与学分比例达到认证标准并能够满足“一践行三学会”养 成教育要求。</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3.3 [课程内容] 课程内容注重基础性、科学性、实践性，把社会主义核心价值观、 师德教育有机融入课程教学中。选用优秀教材，吸收学科前沿知识，引入课程改革 和教育研究最新成果、优秀中学教育教学案例，并能够结合师范生学习状况及时更 新、完善课程内容。</w:t>
      </w:r>
    </w:p>
    <w:p>
      <w:pPr>
        <w:spacing w:line="240" w:lineRule="auto" w:before="8"/>
        <w:rPr>
          <w:rFonts w:ascii="微软雅黑" w:hAnsi="微软雅黑" w:cs="微软雅黑" w:eastAsia="微软雅黑"/>
          <w:sz w:val="17"/>
          <w:szCs w:val="17"/>
        </w:rPr>
      </w:pPr>
    </w:p>
    <w:p>
      <w:pPr>
        <w:pStyle w:val="BodyText"/>
        <w:spacing w:line="424" w:lineRule="auto"/>
        <w:ind w:right="119"/>
        <w:jc w:val="both"/>
      </w:pPr>
      <w:r>
        <w:rPr/>
        <w:t>①描述说明课程内容体现中学教育专业性，注重基础性、科学性、综合性和实践性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③描述说明课程内容引入课程改革和教育研究最新成果和青少年发展与教育研究最 新成果、优秀中学教育教学案例的情况，并举例说明。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t>④描述说明课程内容更新、动态调整机制及执行情况。</w:t>
      </w:r>
    </w:p>
    <w:p>
      <w:pPr>
        <w:spacing w:after="0" w:line="240" w:lineRule="auto"/>
        <w:jc w:val="both"/>
        <w:sectPr>
          <w:pgSz w:w="12240" w:h="15840"/>
          <w:pgMar w:header="773" w:footer="918" w:top="960" w:bottom="110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3.4 [课程实施] 重视课堂教学在培养过程中的基础作用。依据毕业要求制定课程目 标和教学大纲，教学内容、教学方法、考核内容与方式应支持课程目标的实现。能 够恰当运用案例教学、探究教学、现场教学等方式，合理应用信息技术，提高师范 生学习效果。课堂教学、课外指导和课外学习的时间分配合理，技能训练课程实行 小班教学，养成师范生自主学习能力和“三字一话”等从教基本功。</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③描述说明专业注重师范生的主体参与和实践体验，以课堂教学、课外指导提升自 主学习能力，应用信息技术推进教与学的改革情况。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④描述说明教师基本技能、中学教师“三字一话”等从教基本功训练以及师德养成 教育情况与效果。</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rFonts w:ascii="楷体" w:hAnsi="楷体" w:cs="楷体" w:eastAsia="楷体"/>
        </w:rPr>
        <w:t>⑤</w:t>
      </w:r>
      <w:r>
        <w:rPr/>
        <w:t>描述说明校园文化活动对师范生从教信仰、专业素养与创新能力培养的作用。</w:t>
      </w:r>
    </w:p>
    <w:p>
      <w:pPr>
        <w:spacing w:line="240" w:lineRule="auto" w:before="3"/>
        <w:rPr>
          <w:rFonts w:ascii="华文楷体" w:hAnsi="华文楷体" w:cs="华文楷体" w:eastAsia="华文楷体"/>
          <w:sz w:val="19"/>
          <w:szCs w:val="19"/>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5"/>
        <w:rPr>
          <w:rFonts w:ascii="微软雅黑" w:hAnsi="微软雅黑" w:cs="微软雅黑" w:eastAsia="微软雅黑"/>
          <w:sz w:val="26"/>
          <w:szCs w:val="26"/>
        </w:rPr>
      </w:pPr>
    </w:p>
    <w:p>
      <w:pPr>
        <w:pStyle w:val="BodyText"/>
        <w:spacing w:line="424" w:lineRule="auto"/>
        <w:ind w:right="119"/>
        <w:jc w:val="both"/>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119"/>
        <w:jc w:val="both"/>
      </w:pPr>
      <w:r>
        <w:rPr/>
        <w:t>②列表说明最近一次课程体系合理性评价及课程目标达成评价情况并评价结果进行 分析。</w:t>
      </w:r>
    </w:p>
    <w:p>
      <w:pPr>
        <w:pStyle w:val="BodyText"/>
        <w:spacing w:line="240" w:lineRule="auto" w:before="65"/>
        <w:ind w:right="0"/>
        <w:jc w:val="both"/>
      </w:pPr>
      <w:r>
        <w:rPr/>
        <w:t>③描述说明专业最近一次课程体系及课程目标根据评价结果进行修订情况。</w:t>
      </w:r>
    </w:p>
    <w:p>
      <w:pPr>
        <w:spacing w:after="0" w:line="240" w:lineRule="auto"/>
        <w:jc w:val="both"/>
        <w:sectPr>
          <w:pgSz w:w="12240" w:h="15840"/>
          <w:pgMar w:header="773" w:footer="918" w:top="960" w:bottom="110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④描述说明用人单位、师范毕业生等利益相关方参与评价与修订的过程、方式和发 挥的作用。</w:t>
      </w:r>
    </w:p>
    <w:p>
      <w:pPr>
        <w:pStyle w:val="Heading5"/>
        <w:spacing w:line="240" w:lineRule="auto" w:before="180"/>
        <w:ind w:right="0"/>
        <w:jc w:val="both"/>
        <w:rPr>
          <w:b w:val="0"/>
          <w:bCs w:val="0"/>
        </w:rPr>
      </w:pPr>
      <w:bookmarkStart w:name="第二部分：主要问题" w:id="14"/>
      <w:bookmarkEnd w:id="14"/>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15"/>
      <w:bookmarkEnd w:id="15"/>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4合作与实践" w:id="16"/>
      <w:bookmarkEnd w:id="16"/>
      <w:r>
        <w:rPr>
          <w:b w:val="0"/>
          <w:bCs w:val="0"/>
        </w:rPr>
      </w:r>
      <w:r>
        <w:rPr/>
        <w:t>标准 4</w:t>
      </w:r>
      <w:r>
        <w:rPr>
          <w:spacing w:val="-32"/>
        </w:rPr>
        <w:t> </w:t>
      </w:r>
      <w:r>
        <w:rPr/>
        <w:t>合作与实践</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7"/>
      <w:bookmarkEnd w:id="17"/>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15"/>
        <w:jc w:val="both"/>
        <w:rPr>
          <w:rFonts w:ascii="微软雅黑" w:hAnsi="微软雅黑" w:cs="微软雅黑" w:eastAsia="微软雅黑"/>
        </w:rPr>
      </w:pPr>
      <w:r>
        <w:rPr>
          <w:rFonts w:ascii="微软雅黑" w:hAnsi="微软雅黑" w:cs="微软雅黑" w:eastAsia="微软雅黑"/>
        </w:rPr>
        <w:t>4.1 [协同育人] 与地方教育行政部门和中学建立权责明晰、稳定协调、合作共赢的 “三位一体”协同培养机制，基本形成教师培养、培训、研究和服务一体化的合作 共同体。</w:t>
      </w:r>
    </w:p>
    <w:p>
      <w:pPr>
        <w:pStyle w:val="BodyText"/>
        <w:spacing w:line="240" w:lineRule="auto" w:before="145"/>
        <w:ind w:right="0"/>
        <w:jc w:val="both"/>
      </w:pPr>
      <w:r>
        <w:rPr/>
        <w:t>①描述学校与地方教育行政部门和中学建立“三位一体”协同培养机制情况。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②描述学校与中学合作搭建教师专业发展平台，形成中学教师培养、培训、研究和 服务一体化的合作共同体情况。</w:t>
      </w:r>
    </w:p>
    <w:p>
      <w:pPr>
        <w:pStyle w:val="BodyText"/>
        <w:spacing w:line="240" w:lineRule="auto" w:before="65"/>
        <w:ind w:right="0"/>
        <w:jc w:val="both"/>
      </w:pPr>
      <w:r>
        <w:rPr/>
        <w:t>③描述“三位一体”协同育人工作成效。</w:t>
      </w:r>
    </w:p>
    <w:p>
      <w:pPr>
        <w:pStyle w:val="BodyText"/>
        <w:spacing w:line="240" w:lineRule="auto" w:before="126"/>
        <w:ind w:right="0"/>
        <w:jc w:val="both"/>
        <w:rPr>
          <w:rFonts w:ascii="微软雅黑" w:hAnsi="微软雅黑" w:cs="微软雅黑" w:eastAsia="微软雅黑"/>
        </w:rPr>
      </w:pPr>
      <w:r>
        <w:rPr>
          <w:rFonts w:ascii="微软雅黑" w:hAnsi="微软雅黑" w:cs="微软雅黑" w:eastAsia="微软雅黑"/>
        </w:rPr>
        <w:t>4.2    [基地建设]</w:t>
      </w:r>
      <w:r>
        <w:rPr>
          <w:rFonts w:ascii="微软雅黑" w:hAnsi="微软雅黑" w:cs="微软雅黑" w:eastAsia="微软雅黑"/>
          <w:spacing w:val="34"/>
        </w:rPr>
        <w:t> </w:t>
      </w:r>
      <w:r>
        <w:rPr>
          <w:rFonts w:ascii="微软雅黑" w:hAnsi="微软雅黑" w:cs="微软雅黑" w:eastAsia="微软雅黑"/>
          <w:spacing w:val="2"/>
        </w:rPr>
        <w:t>教育实践基地相对稳定，能够提供合适的教育实践环境和实习指</w:t>
      </w:r>
    </w:p>
    <w:p>
      <w:pPr>
        <w:spacing w:after="0" w:line="240" w:lineRule="auto"/>
        <w:jc w:val="both"/>
        <w:rPr>
          <w:rFonts w:ascii="微软雅黑" w:hAnsi="微软雅黑" w:cs="微软雅黑" w:eastAsia="微软雅黑"/>
        </w:rPr>
        <w:sectPr>
          <w:pgSz w:w="12240" w:h="15840"/>
          <w:pgMar w:header="773" w:footer="918" w:top="960" w:bottom="1100" w:left="1680" w:right="168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5" w:lineRule="exact"/>
        <w:ind w:right="0"/>
        <w:jc w:val="both"/>
        <w:rPr>
          <w:rFonts w:ascii="微软雅黑" w:hAnsi="微软雅黑" w:cs="微软雅黑" w:eastAsia="微软雅黑"/>
        </w:rPr>
      </w:pPr>
      <w:r>
        <w:rPr>
          <w:rFonts w:ascii="微软雅黑" w:hAnsi="微软雅黑" w:cs="微软雅黑" w:eastAsia="微软雅黑"/>
        </w:rPr>
        <w:t>导，满足师范生教育实践需求。每 20 个实习生不少于 1</w:t>
      </w:r>
      <w:r>
        <w:rPr>
          <w:rFonts w:ascii="微软雅黑" w:hAnsi="微软雅黑" w:cs="微软雅黑" w:eastAsia="微软雅黑"/>
          <w:spacing w:val="-48"/>
        </w:rPr>
        <w:t> </w:t>
      </w:r>
      <w:r>
        <w:rPr>
          <w:rFonts w:ascii="微软雅黑" w:hAnsi="微软雅黑" w:cs="微软雅黑" w:eastAsia="微软雅黑"/>
        </w:rPr>
        <w:t>个教育实践基地。</w:t>
      </w:r>
    </w:p>
    <w:p>
      <w:pPr>
        <w:pStyle w:val="BodyText"/>
        <w:spacing w:line="424" w:lineRule="auto" w:before="142"/>
        <w:ind w:right="35"/>
        <w:jc w:val="left"/>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0"/>
        <w:jc w:val="both"/>
      </w:pPr>
      <w:r>
        <w:rPr/>
        <w:t>②描述学校利用实践基地开展专业培养的相关制度和举措及其成效。</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4.3 [实践教学] 实践教学体系完整，专业实践和教育实践有机结合。教育见习、教 育实习、教育研习贯通，涵盖师德体验、教学实践、班级管理实践和教研实践等， 并与其他教育环节有机衔接。教育实践时间累计不少于一学期。学校集中组织教育 实习，保证师范生实习期间的上课时数。</w:t>
      </w:r>
    </w:p>
    <w:p>
      <w:pPr>
        <w:pStyle w:val="BodyText"/>
        <w:spacing w:line="240" w:lineRule="auto" w:before="143"/>
        <w:ind w:right="0"/>
        <w:jc w:val="both"/>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②描述教育实习工作规范制定及落实情况，包括课程标准、实施计划、实习手册， 评价标准等。</w:t>
      </w:r>
    </w:p>
    <w:p>
      <w:pPr>
        <w:pStyle w:val="BodyText"/>
        <w:spacing w:line="424" w:lineRule="auto" w:before="65"/>
        <w:ind w:right="35"/>
        <w:jc w:val="left"/>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4.4 [导师队伍]</w:t>
      </w:r>
      <w:r>
        <w:rPr>
          <w:rFonts w:ascii="微软雅黑" w:hAnsi="微软雅黑" w:cs="微软雅黑" w:eastAsia="微软雅黑"/>
          <w:spacing w:val="46"/>
        </w:rPr>
        <w:t> </w:t>
      </w:r>
      <w:r>
        <w:rPr>
          <w:rFonts w:ascii="微软雅黑" w:hAnsi="微软雅黑" w:cs="微软雅黑" w:eastAsia="微软雅黑"/>
          <w:spacing w:val="-3"/>
        </w:rPr>
        <w:t>实行高校教师与优秀中学教师共同指导教育实践的“双导师”制度。</w:t>
      </w:r>
      <w:r>
        <w:rPr>
          <w:rFonts w:ascii="微软雅黑" w:hAnsi="微软雅黑" w:cs="微软雅黑" w:eastAsia="微软雅黑"/>
        </w:rPr>
        <w:t> </w:t>
      </w:r>
      <w:r>
        <w:rPr>
          <w:rFonts w:ascii="微软雅黑" w:hAnsi="微软雅黑" w:cs="微软雅黑" w:eastAsia="微软雅黑"/>
          <w:spacing w:val="-7"/>
        </w:rPr>
        <w:t>有遴选、培训、评价和支持教育实践指导教师的制度与措施。“双导师”数量足，水</w:t>
      </w:r>
      <w:r>
        <w:rPr>
          <w:rFonts w:ascii="微软雅黑" w:hAnsi="微软雅黑" w:cs="微软雅黑" w:eastAsia="微软雅黑"/>
          <w:spacing w:val="-52"/>
        </w:rPr>
        <w:t> </w:t>
      </w:r>
      <w:r>
        <w:rPr>
          <w:rFonts w:ascii="微软雅黑" w:hAnsi="微软雅黑" w:cs="微软雅黑" w:eastAsia="微软雅黑"/>
          <w:spacing w:val="-52"/>
        </w:rPr>
      </w:r>
      <w:r>
        <w:rPr>
          <w:rFonts w:ascii="微软雅黑" w:hAnsi="微软雅黑" w:cs="微软雅黑" w:eastAsia="微软雅黑"/>
        </w:rPr>
        <w:t>平高，稳定性强，责权明确，协同育人，有效履职。</w:t>
      </w:r>
    </w:p>
    <w:p>
      <w:pPr>
        <w:spacing w:line="240" w:lineRule="auto" w:before="8"/>
        <w:rPr>
          <w:rFonts w:ascii="微软雅黑" w:hAnsi="微软雅黑" w:cs="微软雅黑" w:eastAsia="微软雅黑"/>
          <w:sz w:val="26"/>
          <w:szCs w:val="26"/>
        </w:rPr>
      </w:pPr>
    </w:p>
    <w:p>
      <w:pPr>
        <w:pStyle w:val="BodyText"/>
        <w:spacing w:line="424" w:lineRule="auto"/>
        <w:ind w:right="239"/>
        <w:jc w:val="both"/>
      </w:pPr>
      <w:r>
        <w:rPr/>
        <w:t>①描述说明学校实行高校教师与中学教师共同指导教育实践的“双导师”制度与具 体措施，包括导师遴选、人员配置、实践指导、能力提升、条件保障、考核评价与 动态调整等方面。</w:t>
      </w:r>
    </w:p>
    <w:p>
      <w:pPr>
        <w:pStyle w:val="BodyText"/>
        <w:spacing w:line="240" w:lineRule="auto" w:before="65"/>
        <w:ind w:right="0"/>
        <w:jc w:val="both"/>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④描述说明学校支持教育实践指导教师的专门制度与措施。</w:t>
      </w:r>
    </w:p>
    <w:p>
      <w:pPr>
        <w:spacing w:after="0" w:line="240" w:lineRule="auto"/>
        <w:jc w:val="both"/>
        <w:sectPr>
          <w:headerReference w:type="default" r:id="rId11"/>
          <w:footerReference w:type="default" r:id="rId12"/>
          <w:pgSz w:w="12240" w:h="15840"/>
          <w:pgMar w:header="0" w:footer="918" w:top="880" w:bottom="1100" w:left="1680" w:right="1560"/>
          <w:pgNumType w:start="10"/>
        </w:sectPr>
      </w:pPr>
    </w:p>
    <w:p>
      <w:pPr>
        <w:spacing w:line="240" w:lineRule="auto" w:before="6"/>
        <w:rPr>
          <w:rFonts w:ascii="华文楷体" w:hAnsi="华文楷体" w:cs="华文楷体" w:eastAsia="华文楷体"/>
          <w:sz w:val="5"/>
          <w:szCs w:val="5"/>
        </w:rPr>
      </w:pPr>
    </w:p>
    <w:p>
      <w:pPr>
        <w:spacing w:line="20" w:lineRule="exact"/>
        <w:ind w:left="112" w:right="0" w:firstLine="0"/>
        <w:rPr>
          <w:rFonts w:ascii="华文楷体" w:hAnsi="华文楷体" w:cs="华文楷体" w:eastAsia="华文楷体"/>
          <w:sz w:val="2"/>
          <w:szCs w:val="2"/>
        </w:rPr>
      </w:pPr>
      <w:r>
        <w:rPr>
          <w:rFonts w:ascii="华文楷体" w:hAnsi="华文楷体" w:cs="华文楷体" w:eastAsia="华文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华文楷体" w:hAnsi="华文楷体" w:cs="华文楷体" w:eastAsia="华文楷体"/>
          <w:sz w:val="2"/>
          <w:szCs w:val="2"/>
        </w:rPr>
      </w:r>
    </w:p>
    <w:p>
      <w:pPr>
        <w:spacing w:line="240" w:lineRule="auto" w:before="0"/>
        <w:rPr>
          <w:rFonts w:ascii="华文楷体" w:hAnsi="华文楷体" w:cs="华文楷体" w:eastAsia="华文楷体"/>
          <w:sz w:val="20"/>
          <w:szCs w:val="20"/>
        </w:rPr>
      </w:pPr>
    </w:p>
    <w:p>
      <w:pPr>
        <w:pStyle w:val="BodyText"/>
        <w:spacing w:line="410" w:lineRule="exact" w:before="141"/>
        <w:ind w:right="35"/>
        <w:jc w:val="left"/>
        <w:rPr>
          <w:rFonts w:ascii="微软雅黑" w:hAnsi="微软雅黑" w:cs="微软雅黑" w:eastAsia="微软雅黑"/>
        </w:rPr>
      </w:pPr>
      <w:r>
        <w:rPr>
          <w:rFonts w:ascii="微软雅黑" w:hAnsi="微软雅黑" w:cs="微软雅黑" w:eastAsia="微软雅黑"/>
        </w:rPr>
        <w:t>4.5 [管理评价] 教育实践管理较为规范，能够对重点环节实施质量监控。实行教育 实践评价与改进制度。依据相关标准，对教育实践表现进行有效评价。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①描述学校实践教学管理制度和措施，说明对教育见习、实验（实训）、教育实习、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③描述说明中学教育类专业师范生教育实践标准，对实践能力和教育教学反思能力 的考核评价方式及效果分析。</w:t>
      </w:r>
    </w:p>
    <w:p>
      <w:pPr>
        <w:pStyle w:val="BodyText"/>
        <w:spacing w:line="240" w:lineRule="auto" w:before="65"/>
        <w:ind w:right="35"/>
        <w:jc w:val="left"/>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35"/>
        <w:jc w:val="left"/>
        <w:rPr>
          <w:b w:val="0"/>
          <w:bCs w:val="0"/>
        </w:rPr>
      </w:pPr>
      <w:bookmarkStart w:name="第二部分：主要问题" w:id="18"/>
      <w:bookmarkEnd w:id="18"/>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35"/>
        <w:jc w:val="left"/>
        <w:rPr>
          <w:b w:val="0"/>
          <w:bCs w:val="0"/>
        </w:rPr>
      </w:pPr>
      <w:bookmarkStart w:name="第三部分：改进措施" w:id="19"/>
      <w:bookmarkEnd w:id="19"/>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35"/>
        <w:jc w:val="left"/>
        <w:rPr>
          <w:b w:val="0"/>
          <w:bCs w:val="0"/>
        </w:rPr>
      </w:pPr>
      <w:bookmarkStart w:name="标准5师资队伍" w:id="20"/>
      <w:bookmarkEnd w:id="20"/>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35"/>
        <w:jc w:val="left"/>
        <w:rPr>
          <w:b w:val="0"/>
          <w:bCs w:val="0"/>
        </w:rPr>
      </w:pPr>
      <w:bookmarkStart w:name="第一部分：达标情况" w:id="21"/>
      <w:bookmarkEnd w:id="21"/>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5" w:firstLine="0"/>
        <w:jc w:val="left"/>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z w:val="21"/>
          <w:szCs w:val="21"/>
        </w:rPr>
      </w:r>
    </w:p>
    <w:p>
      <w:pPr>
        <w:spacing w:after="0" w:line="273" w:lineRule="auto"/>
        <w:jc w:val="left"/>
        <w:rPr>
          <w:rFonts w:ascii="楷体" w:hAnsi="楷体" w:cs="楷体" w:eastAsia="楷体"/>
          <w:sz w:val="21"/>
          <w:szCs w:val="21"/>
        </w:rPr>
        <w:sectPr>
          <w:headerReference w:type="default" r:id="rId13"/>
          <w:footerReference w:type="default" r:id="rId14"/>
          <w:pgSz w:w="12240" w:h="15840"/>
          <w:pgMar w:header="0" w:footer="918" w:top="880" w:bottom="1100" w:left="1680" w:right="1560"/>
          <w:pgNumType w:start="11"/>
        </w:sectPr>
      </w:pPr>
    </w:p>
    <w:p>
      <w:pPr>
        <w:spacing w:line="240" w:lineRule="auto" w:before="0"/>
        <w:rPr>
          <w:rFonts w:ascii="楷体" w:hAnsi="楷体" w:cs="楷体" w:eastAsia="楷体"/>
          <w:sz w:val="6"/>
          <w:szCs w:val="6"/>
        </w:rPr>
      </w:pPr>
    </w:p>
    <w:p>
      <w:pPr>
        <w:spacing w:line="20" w:lineRule="exact"/>
        <w:ind w:left="112" w:right="0" w:firstLine="0"/>
        <w:rPr>
          <w:rFonts w:ascii="楷体" w:hAnsi="楷体" w:cs="楷体" w:eastAsia="楷体"/>
          <w:sz w:val="2"/>
          <w:szCs w:val="2"/>
        </w:rPr>
      </w:pPr>
      <w:r>
        <w:rPr>
          <w:rFonts w:ascii="楷体" w:hAnsi="楷体" w:cs="楷体" w:eastAsia="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楷体" w:hAnsi="楷体" w:cs="楷体" w:eastAsia="楷体"/>
          <w:sz w:val="2"/>
          <w:szCs w:val="2"/>
        </w:rPr>
      </w:r>
    </w:p>
    <w:p>
      <w:pPr>
        <w:spacing w:line="240" w:lineRule="auto" w:before="0"/>
        <w:rPr>
          <w:rFonts w:ascii="楷体" w:hAnsi="楷体" w:cs="楷体" w:eastAsia="楷体"/>
          <w:sz w:val="20"/>
          <w:szCs w:val="20"/>
        </w:rPr>
      </w:pPr>
    </w:p>
    <w:p>
      <w:pPr>
        <w:spacing w:line="240" w:lineRule="auto" w:before="2"/>
        <w:rPr>
          <w:rFonts w:ascii="楷体" w:hAnsi="楷体" w:cs="楷体" w:eastAsia="楷体"/>
          <w:sz w:val="14"/>
          <w:szCs w:val="14"/>
        </w:rPr>
      </w:pPr>
    </w:p>
    <w:p>
      <w:pPr>
        <w:spacing w:before="0"/>
        <w:ind w:left="120" w:right="0" w:firstLine="0"/>
        <w:jc w:val="both"/>
        <w:rPr>
          <w:rFonts w:ascii="楷体" w:hAnsi="楷体" w:cs="楷体" w:eastAsia="楷体"/>
          <w:sz w:val="21"/>
          <w:szCs w:val="21"/>
        </w:rPr>
      </w:pPr>
      <w:r>
        <w:rPr>
          <w:rFonts w:ascii="楷体" w:hAnsi="楷体" w:cs="楷体" w:eastAsia="楷体"/>
          <w:sz w:val="21"/>
          <w:szCs w:val="21"/>
        </w:rPr>
        <w:t>分析和达成说明）</w:t>
      </w:r>
    </w:p>
    <w:p>
      <w:pPr>
        <w:pStyle w:val="BodyText"/>
        <w:spacing w:line="237" w:lineRule="auto" w:before="160"/>
        <w:ind w:right="233"/>
        <w:jc w:val="both"/>
        <w:rPr>
          <w:rFonts w:ascii="微软雅黑" w:hAnsi="微软雅黑" w:cs="微软雅黑" w:eastAsia="微软雅黑"/>
        </w:rPr>
      </w:pPr>
      <w:r>
        <w:rPr>
          <w:rFonts w:ascii="微软雅黑" w:hAnsi="微软雅黑" w:cs="微软雅黑" w:eastAsia="微软雅黑"/>
        </w:rPr>
        <w:t>5.1 [数量结构] 专任教师数量结构能够适应本专业教学和发展的需要，生师比不高 于 </w:t>
      </w:r>
      <w:r>
        <w:rPr>
          <w:rFonts w:ascii="微软雅黑" w:hAnsi="微软雅黑" w:cs="微软雅黑" w:eastAsia="微软雅黑"/>
          <w:spacing w:val="2"/>
        </w:rPr>
        <w:t>18:1，硕士、博士学位教师占比一般不低于</w:t>
      </w:r>
      <w:r>
        <w:rPr>
          <w:rFonts w:ascii="微软雅黑" w:hAnsi="微软雅黑" w:cs="微软雅黑" w:eastAsia="微软雅黑"/>
          <w:spacing w:val="-10"/>
        </w:rPr>
        <w:t> </w:t>
      </w:r>
      <w:r>
        <w:rPr>
          <w:rFonts w:ascii="微软雅黑" w:hAnsi="微软雅黑" w:cs="微软雅黑" w:eastAsia="微软雅黑"/>
          <w:spacing w:val="2"/>
        </w:rPr>
        <w:t>60%，高级职称教师比例不低于学</w:t>
      </w:r>
      <w:r>
        <w:rPr>
          <w:rFonts w:ascii="微软雅黑" w:hAnsi="微软雅黑" w:cs="微软雅黑" w:eastAsia="微软雅黑"/>
        </w:rPr>
        <w:t> 校平均水平，且为师范生上课。配足建强教师教育课程教师，其中学科课程与教学 论教师原则上不少于 2</w:t>
      </w:r>
      <w:r>
        <w:rPr>
          <w:rFonts w:ascii="微软雅黑" w:hAnsi="微软雅黑" w:cs="微软雅黑" w:eastAsia="微软雅黑"/>
          <w:spacing w:val="-45"/>
        </w:rPr>
        <w:t> </w:t>
      </w:r>
      <w:r>
        <w:rPr>
          <w:rFonts w:ascii="微软雅黑" w:hAnsi="微软雅黑" w:cs="微软雅黑" w:eastAsia="微软雅黑"/>
        </w:rPr>
        <w:t>人。基础教育一线兼职教师素质良好、队伍稳定，占教师教</w:t>
      </w:r>
      <w:r>
        <w:rPr>
          <w:rFonts w:ascii="微软雅黑" w:hAnsi="微软雅黑" w:cs="微软雅黑" w:eastAsia="微软雅黑"/>
        </w:rPr>
        <w:t> 育课程教师比例不低于</w:t>
      </w:r>
      <w:r>
        <w:rPr>
          <w:rFonts w:ascii="微软雅黑" w:hAnsi="微软雅黑" w:cs="微软雅黑" w:eastAsia="微软雅黑"/>
          <w:spacing w:val="-16"/>
        </w:rPr>
        <w:t> </w:t>
      </w:r>
      <w:r>
        <w:rPr>
          <w:rFonts w:ascii="微软雅黑" w:hAnsi="微软雅黑" w:cs="微软雅黑" w:eastAsia="微软雅黑"/>
        </w:rPr>
        <w:t>20%。</w:t>
      </w:r>
    </w:p>
    <w:p>
      <w:pPr>
        <w:pStyle w:val="BodyText"/>
        <w:spacing w:line="424" w:lineRule="auto" w:before="143"/>
        <w:ind w:right="23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pStyle w:val="BodyText"/>
        <w:spacing w:line="424" w:lineRule="auto" w:before="65"/>
        <w:ind w:right="239"/>
        <w:jc w:val="both"/>
      </w:pPr>
      <w:r>
        <w:rPr/>
        <w:t>②描述说明专业专任教师教学能力、学术水平满足师范生培养和专业教学需要的情 况。</w:t>
      </w:r>
    </w:p>
    <w:p>
      <w:pPr>
        <w:pStyle w:val="BodyText"/>
        <w:spacing w:line="424" w:lineRule="auto" w:before="65"/>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424" w:lineRule="auto" w:before="65"/>
        <w:ind w:right="239"/>
        <w:jc w:val="both"/>
      </w:pPr>
      <w:r>
        <w:rPr/>
        <w:t>④描述说明近三年专业专任教师队伍建设和发展满足学生发展需要的情况，配足建 强教师教育课程教师情况，具体说明学科课程与教学论教师人数和具有半年以上境 外研修经历教师占教师教育课程教师比例情况。</w:t>
      </w:r>
    </w:p>
    <w:p>
      <w:pPr>
        <w:pStyle w:val="BodyText"/>
        <w:spacing w:line="240" w:lineRule="auto" w:before="65"/>
        <w:ind w:right="0"/>
        <w:jc w:val="both"/>
      </w:pPr>
      <w:r>
        <w:rPr/>
        <w:t>⑤描述说明近三年专业兼职教师队伍建设和发展满足学生发展需要的情况。</w:t>
      </w:r>
    </w:p>
    <w:p>
      <w:pPr>
        <w:pStyle w:val="BodyText"/>
        <w:spacing w:line="237" w:lineRule="auto" w:before="129"/>
        <w:ind w:right="239"/>
        <w:jc w:val="both"/>
        <w:rPr>
          <w:rFonts w:ascii="微软雅黑" w:hAnsi="微软雅黑" w:cs="微软雅黑" w:eastAsia="微软雅黑"/>
        </w:rPr>
      </w:pPr>
      <w:r>
        <w:rPr>
          <w:rFonts w:ascii="微软雅黑" w:hAnsi="微软雅黑" w:cs="微软雅黑" w:eastAsia="微软雅黑"/>
        </w:rPr>
        <w:t>5.2[素质能力] </w:t>
      </w:r>
      <w:r>
        <w:rPr>
          <w:rFonts w:ascii="微软雅黑" w:hAnsi="微软雅黑" w:cs="微软雅黑" w:eastAsia="微软雅黑"/>
          <w:spacing w:val="2"/>
        </w:rPr>
        <w:t>遵守高校教师职业道德规范，为人师表，言传身教；以生为本、以</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学定教，具有较强的课堂教学、信息技术应用和学习指导等教育教学能力；勤于思 考，严谨治学，具有一定的学术水平和研究能力。具有职前养成和职后发展一体化 指导能力，能够有效指导师范生发展与职业规划。师范生对本专业专任教师、兼职 教师师德和教学具有较高的满意度。</w:t>
      </w:r>
    </w:p>
    <w:p>
      <w:pPr>
        <w:pStyle w:val="BodyText"/>
        <w:spacing w:line="424" w:lineRule="auto" w:before="143"/>
        <w:ind w:right="239"/>
        <w:jc w:val="both"/>
      </w:pPr>
      <w:r>
        <w:rPr/>
        <w:t>①描述说明学校加强专业专任教师队伍师德师风和素质能力建设的制度和措施，及 这些制度和措施发挥的作用。</w:t>
      </w:r>
    </w:p>
    <w:p>
      <w:pPr>
        <w:pStyle w:val="BodyText"/>
        <w:spacing w:line="240" w:lineRule="auto" w:before="65"/>
        <w:ind w:right="0"/>
        <w:jc w:val="both"/>
      </w:pPr>
      <w:r>
        <w:rPr/>
        <w:t>②描述说明常态化学生评教制度与标准，包括专任教师、兼职教师评价，说明学生</w:t>
      </w:r>
    </w:p>
    <w:p>
      <w:pPr>
        <w:spacing w:after="0" w:line="240" w:lineRule="auto"/>
        <w:jc w:val="both"/>
        <w:sectPr>
          <w:headerReference w:type="default" r:id="rId15"/>
          <w:footerReference w:type="default" r:id="rId16"/>
          <w:pgSz w:w="12240" w:h="15840"/>
          <w:pgMar w:header="0" w:footer="918" w:top="880" w:bottom="1100" w:left="1680" w:right="1560"/>
          <w:pgNumType w:start="12"/>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满意度。</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③描述说明专业专任教师的基础教育教学改革研究成果以及应用科研成果有效促进 教育教学改革情况。</w:t>
      </w:r>
    </w:p>
    <w:p>
      <w:pPr>
        <w:pStyle w:val="BodyText"/>
        <w:spacing w:line="240" w:lineRule="auto" w:before="65"/>
        <w:ind w:right="0"/>
        <w:jc w:val="both"/>
      </w:pPr>
      <w:r>
        <w:rPr/>
        <w:t>④描述专业专任教师为学生提供职前养成和职后发展一体化指导的情况。</w:t>
      </w:r>
    </w:p>
    <w:p>
      <w:pPr>
        <w:pStyle w:val="BodyText"/>
        <w:spacing w:line="237" w:lineRule="auto" w:before="129"/>
        <w:ind w:right="239"/>
        <w:jc w:val="both"/>
        <w:rPr>
          <w:rFonts w:ascii="微软雅黑" w:hAnsi="微软雅黑" w:cs="微软雅黑" w:eastAsia="微软雅黑"/>
        </w:rPr>
      </w:pPr>
      <w:r>
        <w:rPr>
          <w:rFonts w:ascii="微软雅黑" w:hAnsi="微软雅黑" w:cs="微软雅黑" w:eastAsia="微软雅黑"/>
        </w:rPr>
        <w:t>5.3[实践经历] </w:t>
      </w:r>
      <w:r>
        <w:rPr>
          <w:rFonts w:ascii="微软雅黑" w:hAnsi="微软雅黑" w:cs="微软雅黑" w:eastAsia="微软雅黑"/>
          <w:spacing w:val="2"/>
        </w:rPr>
        <w:t>教师教育课程教师熟悉中学教师专业标准、教师教育课程标准和中</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学教育教学工作，至少有一年中学教育服务经历，其中学科课程与教学论教师具有 指导、分析、解决中学教育教学实际问题的能力，并有一定的基础教育研究成果。</w:t>
      </w:r>
    </w:p>
    <w:p>
      <w:pPr>
        <w:pStyle w:val="BodyText"/>
        <w:spacing w:line="424" w:lineRule="auto" w:before="145"/>
        <w:ind w:right="239"/>
        <w:jc w:val="both"/>
      </w:pPr>
      <w:r>
        <w:rPr/>
        <w:t>①描述说明学校和院系两级在鼓励教师教育课程教师深入中学一线实践方面采取的 制度和措施。</w:t>
      </w:r>
    </w:p>
    <w:p>
      <w:pPr>
        <w:pStyle w:val="BodyText"/>
        <w:spacing w:line="424" w:lineRule="auto" w:before="65"/>
        <w:ind w:right="239"/>
        <w:jc w:val="both"/>
      </w:pPr>
      <w:r>
        <w:rPr/>
        <w:t>②描述分析这些制度和措施在激励和保障专业教师通过实践形成丰富的教学研究成 果中发挥的作用。</w:t>
      </w:r>
    </w:p>
    <w:p>
      <w:pPr>
        <w:pStyle w:val="BodyText"/>
        <w:spacing w:line="240" w:lineRule="auto" w:before="65"/>
        <w:ind w:right="0"/>
        <w:jc w:val="both"/>
      </w:pPr>
      <w:r>
        <w:rPr/>
        <w:t>③以列表的方式呈现专业教师近五年基于实践的教学研究成果。</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5.4 [持续发展] 制定并实施教师队伍建设规划。建立教师培训和实践研修制度。建 立专业教研组织，定期开展教研活动。建立教师分类评价制度，合理制定学科课程 与教学论等教师教育实践类课程教师评价标准，评价结果与绩效分配、职称评聘挂 </w:t>
      </w:r>
      <w:r>
        <w:rPr>
          <w:rFonts w:ascii="微软雅黑" w:hAnsi="微软雅黑" w:cs="微软雅黑" w:eastAsia="微软雅黑"/>
          <w:spacing w:val="-7"/>
        </w:rPr>
        <w:t>钩。探索高校和中学“协同教研”“双向互聘”“岗位互换”等共同发展机制。</w:t>
      </w:r>
    </w:p>
    <w:p>
      <w:pPr>
        <w:pStyle w:val="BodyText"/>
        <w:spacing w:line="240" w:lineRule="auto" w:before="143"/>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③列表说明近三年专业教师特别是青年教师进行国内外进修访学、中学一线实践锻 </w:t>
      </w:r>
      <w:r>
        <w:rPr>
          <w:spacing w:val="-7"/>
        </w:rPr>
        <w:t>炼、教学技能与方法培训情况，并对培养培训提升教师教学水平效果进行分析（《专</w:t>
      </w:r>
      <w:r>
        <w:rPr>
          <w:spacing w:val="-42"/>
        </w:rPr>
        <w:t> </w:t>
      </w:r>
      <w:r>
        <w:rPr>
          <w:spacing w:val="-42"/>
        </w:rPr>
      </w:r>
      <w:r>
        <w:rPr>
          <w:spacing w:val="-6"/>
        </w:rPr>
        <w:t>业教学状态数据分析报告》有相关数据信息）。</w:t>
      </w:r>
    </w:p>
    <w:p>
      <w:pPr>
        <w:pStyle w:val="BodyText"/>
        <w:spacing w:line="424" w:lineRule="auto" w:before="65"/>
        <w:ind w:right="35"/>
        <w:jc w:val="left"/>
      </w:pPr>
      <w:r>
        <w:rPr/>
        <w:t>④描述说明专业教研组织建设情况（包括组织形式与规模，承担的具体责任，隶属 </w:t>
      </w:r>
      <w:r>
        <w:rPr>
          <w:spacing w:val="-10"/>
        </w:rPr>
        <w:t>关系，以及责任人），及组织开展的专业建设、课程建设、教材建设、教学技能提高、</w:t>
      </w:r>
    </w:p>
    <w:p>
      <w:pPr>
        <w:spacing w:after="0" w:line="424" w:lineRule="auto"/>
        <w:jc w:val="left"/>
        <w:sectPr>
          <w:headerReference w:type="default" r:id="rId17"/>
          <w:pgSz w:w="12240" w:h="15840"/>
          <w:pgMar w:header="773" w:footer="918" w:top="960" w:bottom="110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spacing w:val="-4"/>
        </w:rPr>
        <w:t>⑤以列表方式呈现近三年开展教师自我评价（主要指通过课程评价进行教学改进）、</w:t>
      </w:r>
      <w:r>
        <w:rPr>
          <w:spacing w:val="-32"/>
        </w:rPr>
        <w:t> </w:t>
      </w:r>
      <w:r>
        <w:rPr>
          <w:spacing w:val="-32"/>
        </w:rPr>
      </w:r>
      <w:r>
        <w:rPr/>
        <w:t>学生评价、同行评价、督导评价活动情况及结果。</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⑥描述说明综合评价结果与校内绩效分配、职称晋升的挂钩情况，及对教师教学质 量提升的作用。</w:t>
      </w:r>
    </w:p>
    <w:p>
      <w:pPr>
        <w:spacing w:line="240" w:lineRule="auto" w:before="1"/>
        <w:rPr>
          <w:rFonts w:ascii="华文楷体" w:hAnsi="华文楷体" w:cs="华文楷体" w:eastAsia="华文楷体"/>
          <w:sz w:val="15"/>
          <w:szCs w:val="15"/>
        </w:rPr>
      </w:pPr>
    </w:p>
    <w:p>
      <w:pPr>
        <w:pStyle w:val="BodyText"/>
        <w:spacing w:line="424" w:lineRule="auto"/>
        <w:ind w:right="239"/>
        <w:jc w:val="both"/>
      </w:pPr>
      <w:r>
        <w:rPr/>
        <w:t>⑦描述说明学校探索建设高校和中学“协同教研”“双向互聘”“岗位互换”等共 同发展机制的情况，学校教师分类评价制度建设及运行情况，学科课程与教学论等 教师教育实践类课程教师的评价标准。</w:t>
      </w:r>
    </w:p>
    <w:p>
      <w:pPr>
        <w:spacing w:line="240" w:lineRule="auto" w:before="0"/>
        <w:rPr>
          <w:rFonts w:ascii="华文楷体" w:hAnsi="华文楷体" w:cs="华文楷体" w:eastAsia="华文楷体"/>
          <w:sz w:val="24"/>
          <w:szCs w:val="24"/>
        </w:rPr>
      </w:pPr>
    </w:p>
    <w:p>
      <w:pPr>
        <w:spacing w:line="240" w:lineRule="auto" w:before="0"/>
        <w:rPr>
          <w:rFonts w:ascii="华文楷体" w:hAnsi="华文楷体" w:cs="华文楷体" w:eastAsia="华文楷体"/>
          <w:sz w:val="24"/>
          <w:szCs w:val="24"/>
        </w:rPr>
      </w:pPr>
    </w:p>
    <w:p>
      <w:pPr>
        <w:spacing w:line="240" w:lineRule="auto" w:before="8"/>
        <w:rPr>
          <w:rFonts w:ascii="华文楷体" w:hAnsi="华文楷体" w:cs="华文楷体" w:eastAsia="华文楷体"/>
          <w:sz w:val="17"/>
          <w:szCs w:val="17"/>
        </w:rPr>
      </w:pPr>
    </w:p>
    <w:p>
      <w:pPr>
        <w:pStyle w:val="Heading5"/>
        <w:spacing w:line="240" w:lineRule="auto"/>
        <w:ind w:right="0"/>
        <w:jc w:val="both"/>
        <w:rPr>
          <w:b w:val="0"/>
          <w:bCs w:val="0"/>
        </w:rPr>
      </w:pPr>
      <w:bookmarkStart w:name="第二部分：主要问题" w:id="22"/>
      <w:bookmarkEnd w:id="22"/>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23"/>
      <w:bookmarkEnd w:id="23"/>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after="0" w:line="312" w:lineRule="exact"/>
        <w:jc w:val="left"/>
        <w:rPr>
          <w:rFonts w:ascii="楷体" w:hAnsi="楷体" w:cs="楷体" w:eastAsia="楷体"/>
        </w:rPr>
        <w:sectPr>
          <w:pgSz w:w="12240" w:h="15840"/>
          <w:pgMar w:header="773" w:footer="918" w:top="960" w:bottom="1100" w:left="1680" w:right="156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0"/>
        <w:jc w:val="both"/>
        <w:rPr>
          <w:b w:val="0"/>
          <w:bCs w:val="0"/>
        </w:rPr>
      </w:pPr>
      <w:bookmarkStart w:name="标准6支持条件" w:id="24"/>
      <w:bookmarkEnd w:id="24"/>
      <w:r>
        <w:rPr>
          <w:b w:val="0"/>
          <w:bCs w:val="0"/>
        </w:rPr>
      </w:r>
      <w:r>
        <w:rPr/>
        <w:t>标准 6</w:t>
      </w:r>
      <w:r>
        <w:rPr>
          <w:spacing w:val="-32"/>
        </w:rPr>
        <w:t> </w:t>
      </w:r>
      <w:r>
        <w:rPr/>
        <w:t>支持条件</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5"/>
      <w:bookmarkEnd w:id="25"/>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38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355"/>
        <w:jc w:val="both"/>
        <w:rPr>
          <w:rFonts w:ascii="微软雅黑" w:hAnsi="微软雅黑" w:cs="微软雅黑" w:eastAsia="微软雅黑"/>
        </w:rPr>
      </w:pPr>
      <w:r>
        <w:rPr>
          <w:rFonts w:ascii="微软雅黑" w:hAnsi="微软雅黑" w:cs="微软雅黑" w:eastAsia="微软雅黑"/>
        </w:rPr>
        <w:t>6.1 [经费保障] 专业建设经费满足师范生培养需求，教学日常运行支出占生均拨款 总额与学费收入之和的比例不低于</w:t>
      </w:r>
      <w:r>
        <w:rPr>
          <w:rFonts w:ascii="微软雅黑" w:hAnsi="微软雅黑" w:cs="微软雅黑" w:eastAsia="微软雅黑"/>
          <w:spacing w:val="-4"/>
        </w:rPr>
        <w:t> 13%，生均教学日常运行支出不低于学校平均水</w:t>
      </w:r>
      <w:r>
        <w:rPr>
          <w:rFonts w:ascii="微软雅黑" w:hAnsi="微软雅黑" w:cs="微软雅黑" w:eastAsia="微软雅黑"/>
        </w:rPr>
        <w:t> 平，生均教育实践经费支出不低于学校平均水平。教学设施设备和图书资料等更新 经费有标准和预决算。</w:t>
      </w:r>
    </w:p>
    <w:p>
      <w:pPr>
        <w:pStyle w:val="BodyText"/>
        <w:spacing w:line="240" w:lineRule="auto" w:before="143"/>
        <w:ind w:right="0"/>
        <w:jc w:val="both"/>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359"/>
        <w:jc w:val="both"/>
      </w:pPr>
      <w:r>
        <w:rPr/>
        <w:t>②描述说明学校在学生实验、实习和毕业论文（设计）上的生均经费投入情况及满 足专业教学需要情况。</w:t>
      </w:r>
    </w:p>
    <w:p>
      <w:pPr>
        <w:pStyle w:val="BodyText"/>
        <w:spacing w:line="240" w:lineRule="auto" w:before="65"/>
        <w:ind w:right="0"/>
        <w:jc w:val="both"/>
      </w:pPr>
      <w:r>
        <w:rPr/>
        <w:t>③列表说明近三年学校和院系用于专业教学的经费收支情况。</w:t>
      </w:r>
    </w:p>
    <w:p>
      <w:pPr>
        <w:spacing w:line="240" w:lineRule="auto" w:before="3"/>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2"/>
        <w:rPr>
          <w:rFonts w:ascii="华文楷体" w:hAnsi="华文楷体" w:cs="华文楷体" w:eastAsia="华文楷体"/>
          <w:sz w:val="21"/>
          <w:szCs w:val="21"/>
        </w:rPr>
      </w:pPr>
    </w:p>
    <w:p>
      <w:pPr>
        <w:pStyle w:val="BodyText"/>
        <w:spacing w:line="354" w:lineRule="exact"/>
        <w:ind w:right="0"/>
        <w:jc w:val="left"/>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教育教学设施满足师范生培养要求。建有中学教育专业教师职业技</w:t>
      </w:r>
    </w:p>
    <w:p>
      <w:pPr>
        <w:pStyle w:val="BodyText"/>
        <w:spacing w:line="414" w:lineRule="exact"/>
        <w:ind w:right="0"/>
        <w:jc w:val="left"/>
        <w:rPr>
          <w:rFonts w:ascii="微软雅黑" w:hAnsi="微软雅黑" w:cs="微软雅黑" w:eastAsia="微软雅黑"/>
        </w:rPr>
      </w:pPr>
      <w:r>
        <w:rPr>
          <w:rFonts w:ascii="微软雅黑" w:hAnsi="微软雅黑" w:cs="微软雅黑" w:eastAsia="微软雅黑"/>
          <w:spacing w:val="-7"/>
        </w:rPr>
        <w:t>能实训平台，满足“三字一话”、微格教学、实验教学等实践教学需要。信息化教育</w:t>
      </w:r>
    </w:p>
    <w:p>
      <w:pPr>
        <w:spacing w:after="0" w:line="414" w:lineRule="exact"/>
        <w:jc w:val="left"/>
        <w:rPr>
          <w:rFonts w:ascii="微软雅黑" w:hAnsi="微软雅黑" w:cs="微软雅黑" w:eastAsia="微软雅黑"/>
        </w:rPr>
        <w:sectPr>
          <w:pgSz w:w="12240" w:h="15840"/>
          <w:pgMar w:header="773" w:footer="918" w:top="960" w:bottom="1100" w:left="1680" w:right="1440"/>
        </w:sectPr>
      </w:pPr>
    </w:p>
    <w:p>
      <w:pPr>
        <w:spacing w:line="240" w:lineRule="auto" w:before="9"/>
        <w:rPr>
          <w:rFonts w:ascii="微软雅黑" w:hAnsi="微软雅黑" w:cs="微软雅黑" w:eastAsia="微软雅黑"/>
          <w:sz w:val="27"/>
          <w:szCs w:val="27"/>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设施能够适应师范生信息素养培养要求。建有教育教学设施管理、维护、更新和共</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享机制，方便师范生使用。</w:t>
      </w:r>
    </w:p>
    <w:p>
      <w:pPr>
        <w:pStyle w:val="BodyText"/>
        <w:spacing w:line="424" w:lineRule="auto" w:before="144"/>
        <w:ind w:right="119"/>
        <w:jc w:val="both"/>
      </w:pPr>
      <w:r>
        <w:rPr/>
        <w:t>①列表说明学校和院系用于中学教育类专业教学的主要教学实验室、中学教育专业 </w:t>
      </w:r>
      <w:r>
        <w:rPr>
          <w:spacing w:val="-7"/>
        </w:rPr>
        <w:t>教师职业技能实训平台和在线教学观摩指导平台，满足“三字一话”、微格教学、实</w:t>
      </w:r>
      <w:r>
        <w:rPr>
          <w:spacing w:val="-43"/>
        </w:rPr>
        <w:t> </w:t>
      </w:r>
      <w:r>
        <w:rPr>
          <w:spacing w:val="-43"/>
        </w:rPr>
      </w:r>
      <w:r>
        <w:rPr>
          <w:spacing w:val="-7"/>
        </w:rPr>
        <w:t>验教学、远程见习等实践教学需要情况。（《专业教学状态数据分析报告》有相关数</w:t>
      </w:r>
      <w:r>
        <w:rPr>
          <w:spacing w:val="-41"/>
        </w:rPr>
        <w:t> </w:t>
      </w:r>
      <w:r>
        <w:rPr>
          <w:spacing w:val="-41"/>
        </w:rPr>
      </w:r>
      <w:r>
        <w:rPr/>
        <w:t>据信息）</w:t>
      </w:r>
    </w:p>
    <w:p>
      <w:pPr>
        <w:pStyle w:val="BodyText"/>
        <w:spacing w:line="424" w:lineRule="auto" w:before="65"/>
        <w:ind w:right="119"/>
        <w:jc w:val="both"/>
      </w:pPr>
      <w:r>
        <w:rPr/>
        <w:t>②描述说明现代信息技术与专业教学工作进行融合用以支撑教学改革与师范生学习 方式转变情况。</w:t>
      </w:r>
    </w:p>
    <w:p>
      <w:pPr>
        <w:pStyle w:val="BodyText"/>
        <w:spacing w:line="424" w:lineRule="auto" w:before="65"/>
        <w:ind w:right="119"/>
        <w:jc w:val="both"/>
      </w:pPr>
      <w:r>
        <w:rPr/>
        <w:t>③描述说明这些资源是否满足专业教师和学生教学需求，专业与资源管理部门的信 息沟通渠道，以及专业设施使用绩效评价考核机制。</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专业教学资源满足师范生培养需要，数字化教学资源较为丰富，使</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spacing w:val="2"/>
        </w:rPr>
        <w:t>用率较高。生均教育类纸质图书不少于 </w:t>
      </w:r>
      <w:r>
        <w:rPr>
          <w:rFonts w:ascii="微软雅黑" w:hAnsi="微软雅黑" w:cs="微软雅黑" w:eastAsia="微软雅黑"/>
        </w:rPr>
        <w:t>30</w:t>
      </w:r>
      <w:r>
        <w:rPr>
          <w:rFonts w:ascii="微软雅黑" w:hAnsi="微软雅黑" w:cs="微软雅黑" w:eastAsia="微软雅黑"/>
          <w:spacing w:val="3"/>
        </w:rPr>
        <w:t> </w:t>
      </w:r>
      <w:r>
        <w:rPr>
          <w:rFonts w:ascii="微软雅黑" w:hAnsi="微软雅黑" w:cs="微软雅黑" w:eastAsia="微软雅黑"/>
          <w:spacing w:val="2"/>
        </w:rPr>
        <w:t>册[15]。建有中学教材资源库和优秀中</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学教育教学案例库，其中现行中学课程标准和教材每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424" w:lineRule="auto" w:before="142"/>
        <w:ind w:right="119"/>
        <w:jc w:val="both"/>
      </w:pPr>
      <w:r>
        <w:rPr/>
        <w:t>①描述说明中学教育专业相关多媒体教育设施和数字化教学资源建设和使用，以及 满足师范生学习需要情况。</w:t>
      </w:r>
    </w:p>
    <w:p>
      <w:pPr>
        <w:pStyle w:val="BodyText"/>
        <w:spacing w:line="424" w:lineRule="auto" w:before="65"/>
        <w:ind w:right="119"/>
        <w:jc w:val="both"/>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③描述说明用于教学设施和图书资料等更新的经费标准和预决算情况，特别是中学 教学资源库和优秀中学教育教学案例库建设情况、使用与激励机制。</w:t>
      </w:r>
    </w:p>
    <w:p>
      <w:pPr>
        <w:pStyle w:val="Heading5"/>
        <w:spacing w:line="240" w:lineRule="auto" w:before="183"/>
        <w:ind w:right="0"/>
        <w:jc w:val="both"/>
        <w:rPr>
          <w:b w:val="0"/>
          <w:bCs w:val="0"/>
        </w:rPr>
      </w:pPr>
      <w:bookmarkStart w:name="第二部分：主要问题" w:id="26"/>
      <w:bookmarkEnd w:id="26"/>
      <w:r>
        <w:rPr>
          <w:b w:val="0"/>
          <w:bCs w:val="0"/>
        </w:rPr>
      </w:r>
      <w:r>
        <w:rPr/>
        <w:t>第二部分：主要问题</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after="0" w:line="273" w:lineRule="auto"/>
        <w:jc w:val="both"/>
        <w:rPr>
          <w:rFonts w:ascii="楷体" w:hAnsi="楷体" w:cs="楷体" w:eastAsia="楷体"/>
          <w:sz w:val="21"/>
          <w:szCs w:val="21"/>
        </w:rPr>
        <w:sectPr>
          <w:pgSz w:w="12240" w:h="15840"/>
          <w:pgMar w:header="773" w:footer="918" w:top="960" w:bottom="1100" w:left="1680" w:right="1680"/>
        </w:sect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13"/>
        <w:rPr>
          <w:rFonts w:ascii="楷体" w:hAnsi="楷体" w:cs="楷体" w:eastAsia="楷体"/>
          <w:sz w:val="23"/>
          <w:szCs w:val="23"/>
        </w:rPr>
      </w:pPr>
    </w:p>
    <w:p>
      <w:pPr>
        <w:pStyle w:val="Heading5"/>
        <w:spacing w:line="355" w:lineRule="exact"/>
        <w:ind w:right="0"/>
        <w:jc w:val="both"/>
        <w:rPr>
          <w:b w:val="0"/>
          <w:bCs w:val="0"/>
        </w:rPr>
      </w:pPr>
      <w:bookmarkStart w:name="第三部分：改进措施" w:id="27"/>
      <w:bookmarkEnd w:id="27"/>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7质量保障" w:id="28"/>
      <w:bookmarkEnd w:id="28"/>
      <w:r>
        <w:rPr>
          <w:b w:val="0"/>
          <w:bCs w:val="0"/>
        </w:rPr>
      </w:r>
      <w:r>
        <w:rPr/>
        <w:t>标准 7</w:t>
      </w:r>
      <w:r>
        <w:rPr>
          <w:spacing w:val="-32"/>
        </w:rPr>
        <w:t> </w:t>
      </w:r>
      <w:r>
        <w:rPr/>
        <w:t>质量保障</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9"/>
      <w:bookmarkEnd w:id="29"/>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0"/>
        <w:jc w:val="left"/>
        <w:rPr>
          <w:rFonts w:ascii="微软雅黑" w:hAnsi="微软雅黑" w:cs="微软雅黑" w:eastAsia="微软雅黑"/>
        </w:rPr>
      </w:pPr>
      <w:r>
        <w:rPr>
          <w:rFonts w:ascii="微软雅黑" w:hAnsi="微软雅黑" w:cs="微软雅黑" w:eastAsia="微软雅黑"/>
        </w:rPr>
        <w:t>7.1 [保障体系] 建立教学质量保障体系，各主要教学环节有明确的质量要求。质量 保障目标清晰，任务明确，机构健全，责任到人，能够有效支持毕业要求达成。</w:t>
      </w:r>
    </w:p>
    <w:p>
      <w:pPr>
        <w:pStyle w:val="BodyText"/>
        <w:spacing w:line="240" w:lineRule="auto" w:before="125"/>
        <w:ind w:right="0"/>
        <w:jc w:val="both"/>
      </w:pPr>
      <w:r>
        <w:rPr/>
        <w:t>①描述说明学校和院系两级教学质量保障体系架构与运行方式。</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②描述说明学校和院系两级教学质量保障机构、目标、任务、职责分工、责任人及 对专业毕业要求所起的支持作用。</w:t>
      </w:r>
    </w:p>
    <w:p>
      <w:pPr>
        <w:pStyle w:val="BodyText"/>
        <w:spacing w:line="424" w:lineRule="auto" w:before="65"/>
        <w:ind w:right="0"/>
        <w:jc w:val="left"/>
      </w:pPr>
      <w:r>
        <w:rPr/>
        <w:pict>
          <v:shape style="position:absolute;margin-left:89.760002pt;margin-top:60.877487pt;width:411.85pt;height:95.6pt;mso-position-horizontal-relative:page;mso-position-vertical-relative:paragraph;z-index:119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sz w:val="23"/>
                            <w:szCs w:val="23"/>
                          </w:rPr>
                        </w:pPr>
                      </w:p>
                      <w:p>
                        <w:pPr>
                          <w:pStyle w:val="TableParagraph"/>
                          <w:spacing w:line="240" w:lineRule="auto"/>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
                          <w:ind w:right="0"/>
                          <w:jc w:val="left"/>
                          <w:rPr>
                            <w:rFonts w:ascii="微软雅黑" w:hAnsi="微软雅黑" w:cs="微软雅黑" w:eastAsia="微软雅黑"/>
                            <w:sz w:val="18"/>
                            <w:szCs w:val="18"/>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1"/>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
                          <w:ind w:right="0"/>
                          <w:jc w:val="left"/>
                          <w:rPr>
                            <w:rFonts w:ascii="微软雅黑" w:hAnsi="微软雅黑" w:cs="微软雅黑" w:eastAsia="微软雅黑"/>
                            <w:sz w:val="9"/>
                            <w:szCs w:val="9"/>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sz w:val="23"/>
                            <w:szCs w:val="23"/>
                          </w:rPr>
                        </w:pPr>
                      </w:p>
                      <w:p>
                        <w:pPr>
                          <w:pStyle w:val="TableParagraph"/>
                          <w:spacing w:line="240" w:lineRule="auto"/>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410" w:lineRule="exact" w:before="115"/>
        <w:ind w:right="0"/>
        <w:jc w:val="left"/>
        <w:rPr>
          <w:rFonts w:ascii="微软雅黑" w:hAnsi="微软雅黑" w:cs="微软雅黑" w:eastAsia="微软雅黑"/>
        </w:rPr>
      </w:pPr>
      <w:r>
        <w:rPr>
          <w:rFonts w:ascii="微软雅黑" w:hAnsi="微软雅黑" w:cs="微软雅黑" w:eastAsia="微软雅黑"/>
        </w:rPr>
        <w:t>7.2[内部监控] </w:t>
      </w:r>
      <w:r>
        <w:rPr>
          <w:rFonts w:ascii="微软雅黑" w:hAnsi="微软雅黑" w:cs="微软雅黑" w:eastAsia="微软雅黑"/>
          <w:spacing w:val="2"/>
        </w:rPr>
        <w:t>建立教学过程质量常态化监控机制，定期对各主要教学环节质量实</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施监控与评价，保障毕业要求达成。</w:t>
      </w:r>
    </w:p>
    <w:p>
      <w:pPr>
        <w:spacing w:after="0" w:line="410" w:lineRule="exact"/>
        <w:jc w:val="left"/>
        <w:rPr>
          <w:rFonts w:ascii="微软雅黑" w:hAnsi="微软雅黑" w:cs="微软雅黑" w:eastAsia="微软雅黑"/>
        </w:rPr>
        <w:sectPr>
          <w:pgSz w:w="12240" w:h="15840"/>
          <w:pgMar w:header="773" w:footer="918" w:top="960" w:bottom="1100" w:left="1680" w:right="168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424" w:lineRule="auto"/>
        <w:ind w:right="239"/>
        <w:jc w:val="both"/>
      </w:pPr>
      <w:r>
        <w:rPr/>
        <w:t>①描述说明学校和院系两级教学质量监控与评价机制的建立情况，列出教学管理和 质量保障规章制度。</w:t>
      </w:r>
    </w:p>
    <w:p>
      <w:pPr>
        <w:pStyle w:val="BodyText"/>
        <w:spacing w:line="424" w:lineRule="auto" w:before="65"/>
        <w:ind w:right="119"/>
        <w:jc w:val="both"/>
      </w:pPr>
      <w:r>
        <w:rPr/>
        <w:t>②描述说明学校和院系两级定期开展专业教学质量评价（重点监控专业开展的课程 评价和毕业要求达成评价）情况，包括评估评价周期、评估评价对象、评估评价内 </w:t>
      </w:r>
      <w:r>
        <w:rPr>
          <w:spacing w:val="-4"/>
        </w:rPr>
        <w:t>容、评估评价渠道等，以及最近一次开展的专业教学质量评价的内容、方法和结果。</w:t>
      </w:r>
    </w:p>
    <w:p>
      <w:pPr>
        <w:pStyle w:val="BodyText"/>
        <w:spacing w:line="424" w:lineRule="auto" w:before="65"/>
        <w:ind w:right="239"/>
        <w:jc w:val="both"/>
      </w:pPr>
      <w:r>
        <w:rPr/>
        <w:t>③描述说明专业毕业要求达成的评价机制和方法，包括评价制度、评价周期、评价 </w:t>
      </w:r>
      <w:r>
        <w:rPr>
          <w:spacing w:val="-7"/>
        </w:rPr>
        <w:t>依据（主要来源于课程目标达成评价结果）、评价程序、评价方法和评价责任人。针</w:t>
      </w:r>
      <w:r>
        <w:rPr>
          <w:spacing w:val="-43"/>
        </w:rPr>
        <w:t> </w:t>
      </w:r>
      <w:r>
        <w:rPr>
          <w:spacing w:val="-43"/>
        </w:rPr>
      </w: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2400" w:right="35"/>
        <w:jc w:val="left"/>
      </w:pPr>
      <w:r>
        <w:rPr/>
        <w:t>最近一次毕业要求达成度评价的依据表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1162"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576" w:lineRule="exact" w:before="32"/>
              <w:ind w:left="352" w:right="143" w:hanging="212"/>
              <w:jc w:val="left"/>
              <w:rPr>
                <w:rFonts w:ascii="楷体" w:hAnsi="楷体" w:cs="楷体" w:eastAsia="楷体"/>
                <w:sz w:val="21"/>
                <w:szCs w:val="21"/>
              </w:rPr>
            </w:pPr>
            <w:r>
              <w:rPr>
                <w:rFonts w:ascii="楷体" w:hAnsi="楷体" w:cs="楷体" w:eastAsia="楷体"/>
                <w:sz w:val="21"/>
                <w:szCs w:val="21"/>
              </w:rPr>
              <w:t>专业毕业</w:t>
            </w:r>
            <w:r>
              <w:rPr>
                <w:rFonts w:ascii="楷体" w:hAnsi="楷体" w:cs="楷体" w:eastAsia="楷体"/>
                <w:w w:val="99"/>
                <w:sz w:val="21"/>
                <w:szCs w:val="21"/>
              </w:rPr>
              <w:t> </w:t>
            </w: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296" w:right="296" w:firstLine="105"/>
              <w:jc w:val="left"/>
              <w:rPr>
                <w:rFonts w:ascii="楷体" w:hAnsi="楷体" w:cs="楷体" w:eastAsia="楷体"/>
                <w:sz w:val="21"/>
                <w:szCs w:val="21"/>
              </w:rPr>
            </w:pPr>
            <w:r>
              <w:rPr>
                <w:rFonts w:ascii="楷体" w:hAnsi="楷体" w:cs="楷体" w:eastAsia="楷体"/>
                <w:sz w:val="21"/>
                <w:szCs w:val="21"/>
              </w:rPr>
              <w:t>评价</w:t>
            </w:r>
            <w:r>
              <w:rPr>
                <w:rFonts w:ascii="楷体" w:hAnsi="楷体" w:cs="楷体" w:eastAsia="楷体"/>
                <w:w w:val="99"/>
                <w:sz w:val="21"/>
                <w:szCs w:val="21"/>
              </w:rPr>
              <w:t> </w:t>
            </w: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323" w:right="323"/>
              <w:jc w:val="left"/>
              <w:rPr>
                <w:rFonts w:ascii="楷体" w:hAnsi="楷体" w:cs="楷体" w:eastAsia="楷体"/>
                <w:sz w:val="21"/>
                <w:szCs w:val="21"/>
              </w:rPr>
            </w:pPr>
            <w:r>
              <w:rPr>
                <w:rFonts w:ascii="楷体" w:hAnsi="楷体" w:cs="楷体" w:eastAsia="楷体"/>
                <w:sz w:val="21"/>
                <w:szCs w:val="21"/>
              </w:rPr>
              <w:t>课程考</w:t>
            </w:r>
            <w:r>
              <w:rPr>
                <w:rFonts w:ascii="楷体" w:hAnsi="楷体" w:cs="楷体" w:eastAsia="楷体"/>
                <w:w w:val="99"/>
                <w:sz w:val="21"/>
                <w:szCs w:val="21"/>
              </w:rPr>
              <w:t> </w:t>
            </w: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3"/>
                <w:szCs w:val="23"/>
              </w:rPr>
            </w:pPr>
          </w:p>
          <w:p>
            <w:pPr>
              <w:pStyle w:val="TableParagraph"/>
              <w:spacing w:line="278" w:lineRule="auto"/>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4"/>
                <w:szCs w:val="14"/>
              </w:rPr>
            </w:pPr>
          </w:p>
          <w:p>
            <w:pPr>
              <w:pStyle w:val="TableParagraph"/>
              <w:spacing w:line="240" w:lineRule="auto"/>
              <w:ind w:left="252" w:right="0"/>
              <w:jc w:val="left"/>
              <w:rPr>
                <w:rFonts w:ascii="楷体" w:hAnsi="楷体" w:cs="楷体" w:eastAsia="楷体"/>
                <w:sz w:val="21"/>
                <w:szCs w:val="21"/>
              </w:rPr>
            </w:pPr>
            <w:r>
              <w:rPr>
                <w:rFonts w:ascii="楷体" w:hAnsi="楷体" w:cs="楷体" w:eastAsia="楷体"/>
                <w:sz w:val="21"/>
                <w:szCs w:val="21"/>
              </w:rPr>
              <w:t>形成的记录文档</w:t>
            </w: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2"/>
        <w:rPr>
          <w:rFonts w:ascii="华文楷体" w:hAnsi="华文楷体" w:cs="华文楷体" w:eastAsia="华文楷体"/>
          <w:sz w:val="7"/>
          <w:szCs w:val="7"/>
        </w:rPr>
      </w:pPr>
    </w:p>
    <w:p>
      <w:pPr>
        <w:spacing w:line="344" w:lineRule="exact" w:before="0"/>
        <w:ind w:left="240" w:right="35"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④描述说明学校和院系两级运用信息技术全过程监控与评价专业教学过程用以保障 专业毕业要求达成的情况。</w:t>
      </w:r>
    </w:p>
    <w:p>
      <w:pPr>
        <w:pStyle w:val="BodyText"/>
        <w:spacing w:line="331" w:lineRule="exact"/>
        <w:ind w:right="35"/>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建立毕业生跟踪反馈机制以及基础教育机构、教育行政部门等利益</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相关方参与的社会评价机制，对培养目标的达成度进行定期评价。</w:t>
      </w:r>
    </w:p>
    <w:p>
      <w:pPr>
        <w:pStyle w:val="BodyText"/>
        <w:spacing w:line="240" w:lineRule="auto" w:before="142"/>
        <w:ind w:right="35"/>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spacing w:val="-4"/>
        </w:rPr>
        <w:t>②描述说明中学、教育行政部门等利益相关方参与的多元社会评价机制的建立情况。</w:t>
      </w:r>
    </w:p>
    <w:p>
      <w:pPr>
        <w:spacing w:after="0" w:line="240" w:lineRule="auto"/>
        <w:jc w:val="left"/>
        <w:sectPr>
          <w:pgSz w:w="12240" w:h="15840"/>
          <w:pgMar w:header="773" w:footer="918" w:top="960" w:bottom="110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0"/>
        <w:jc w:val="left"/>
      </w:pPr>
      <w:r>
        <w:rPr/>
        <w:t>③描述说明培养目标达成评价的方法、周期以及最近一次毕业生、中学、教育行政 部门等利益相关方对培养目标达成进行评价的内容、方法和结果。</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推动师范生培养质量持续改进和提高。</w:t>
      </w:r>
    </w:p>
    <w:p>
      <w:pPr>
        <w:pStyle w:val="BodyText"/>
        <w:spacing w:line="424" w:lineRule="auto" w:before="144"/>
        <w:ind w:right="0"/>
        <w:jc w:val="left"/>
      </w:pPr>
      <w:r>
        <w:rPr>
          <w:spacing w:val="-2"/>
        </w:rPr>
        <w:t>①.描述说明专业近三年综合分析内部质量监控和外部评价结果，用于推动师范生培</w:t>
      </w:r>
      <w:r>
        <w:rPr>
          <w:spacing w:val="-39"/>
        </w:rPr>
        <w:t> </w:t>
      </w:r>
      <w:r>
        <w:rPr>
          <w:spacing w:val="-39"/>
        </w:rPr>
      </w:r>
      <w:r>
        <w:rPr/>
        <w:t>养质量持续改进和提高的情况，并举例说明。</w:t>
      </w:r>
    </w:p>
    <w:p>
      <w:pPr>
        <w:pStyle w:val="BodyText"/>
        <w:spacing w:line="240" w:lineRule="auto" w:before="65"/>
        <w:ind w:right="0"/>
        <w:jc w:val="both"/>
      </w:pPr>
      <w:r>
        <w:rPr/>
        <w:t>②描述说明专业推进持续改进、追求卓越的质量文化建设的情况，并举例说明。</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30"/>
      <w:bookmarkEnd w:id="30"/>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7"/>
        <w:ind w:right="0"/>
        <w:jc w:val="both"/>
        <w:rPr>
          <w:b w:val="0"/>
          <w:bCs w:val="0"/>
        </w:rPr>
      </w:pPr>
      <w:bookmarkStart w:name="第三部分：改进措施" w:id="31"/>
      <w:bookmarkEnd w:id="31"/>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32"/>
      <w:bookmarkEnd w:id="32"/>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33"/>
      <w:bookmarkEnd w:id="3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40" w:lineRule="auto" w:before="127"/>
        <w:ind w:right="0"/>
        <w:jc w:val="both"/>
        <w:rPr>
          <w:rFonts w:ascii="微软雅黑" w:hAnsi="微软雅黑" w:cs="微软雅黑" w:eastAsia="微软雅黑"/>
        </w:rPr>
      </w:pPr>
      <w:r>
        <w:rPr>
          <w:rFonts w:ascii="微软雅黑" w:hAnsi="微软雅黑" w:cs="微软雅黑" w:eastAsia="微软雅黑"/>
        </w:rPr>
        <w:t>8.1 [生源质量]</w:t>
      </w:r>
      <w:r>
        <w:rPr>
          <w:rFonts w:ascii="微软雅黑" w:hAnsi="微软雅黑" w:cs="微软雅黑" w:eastAsia="微软雅黑"/>
          <w:spacing w:val="45"/>
        </w:rPr>
        <w:t> </w:t>
      </w:r>
      <w:r>
        <w:rPr>
          <w:rFonts w:ascii="微软雅黑" w:hAnsi="微软雅黑" w:cs="微软雅黑" w:eastAsia="微软雅黑"/>
        </w:rPr>
        <w:t>建立有效的制度措施，能够吸引志愿从教、素质良好的生源。</w:t>
      </w:r>
    </w:p>
    <w:p>
      <w:pPr>
        <w:pStyle w:val="BodyText"/>
        <w:spacing w:line="240" w:lineRule="auto" w:before="144"/>
        <w:ind w:right="0"/>
        <w:jc w:val="both"/>
      </w:pPr>
      <w:r>
        <w:rPr/>
        <w:t>①列表说明专业近三年生源情况。</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2"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bl>
    <w:p>
      <w:pPr>
        <w:spacing w:after="0" w:line="240" w:lineRule="auto"/>
        <w:jc w:val="left"/>
        <w:rPr>
          <w:rFonts w:ascii="楷体" w:hAnsi="楷体" w:cs="楷体" w:eastAsia="楷体"/>
          <w:sz w:val="21"/>
          <w:szCs w:val="21"/>
        </w:rPr>
        <w:sectPr>
          <w:pgSz w:w="12240" w:h="15840"/>
          <w:pgMar w:header="773" w:footer="918" w:top="960" w:bottom="1100" w:left="1680" w:right="1680"/>
        </w:sectPr>
      </w:pPr>
    </w:p>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1"/>
          <w:szCs w:val="21"/>
        </w:rPr>
      </w:pPr>
    </w:p>
    <w:p>
      <w:pPr>
        <w:pStyle w:val="BodyText"/>
        <w:spacing w:line="350" w:lineRule="exact" w:before="2"/>
        <w:ind w:right="119"/>
        <w:jc w:val="both"/>
      </w:pPr>
      <w:r>
        <w:rPr/>
        <w:t>②描述说明学校和院系两级建立符合中学教育类专业和教师教育特点、吸引乐教、 适教的优秀生源制度措施及效果情况。</w:t>
      </w:r>
    </w:p>
    <w:p>
      <w:pPr>
        <w:spacing w:line="240" w:lineRule="auto" w:before="11"/>
        <w:rPr>
          <w:rFonts w:ascii="华文楷体" w:hAnsi="华文楷体" w:cs="华文楷体" w:eastAsia="华文楷体"/>
          <w:sz w:val="26"/>
          <w:szCs w:val="26"/>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8.2 [学生需求] 了解师范生发展诉求，加强学情分析，设计兼顾共性要求与个性需 求的培养方案与教学管理制度，为师范生发展提供空间。</w:t>
      </w:r>
    </w:p>
    <w:p>
      <w:pPr>
        <w:spacing w:line="240" w:lineRule="auto" w:before="7"/>
        <w:rPr>
          <w:rFonts w:ascii="微软雅黑" w:hAnsi="微软雅黑" w:cs="微软雅黑" w:eastAsia="微软雅黑"/>
          <w:sz w:val="17"/>
          <w:szCs w:val="17"/>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建立师范生指导与服务体系，加强思想政治教育，能够适时为师范</w:t>
      </w:r>
    </w:p>
    <w:p>
      <w:pPr>
        <w:pStyle w:val="BodyText"/>
        <w:spacing w:line="410" w:lineRule="exact" w:before="21"/>
        <w:ind w:right="119"/>
        <w:jc w:val="both"/>
        <w:rPr>
          <w:rFonts w:ascii="微软雅黑" w:hAnsi="微软雅黑" w:cs="微软雅黑" w:eastAsia="微软雅黑"/>
        </w:rPr>
      </w:pPr>
      <w:r>
        <w:rPr>
          <w:rFonts w:ascii="微软雅黑" w:hAnsi="微软雅黑" w:cs="微软雅黑" w:eastAsia="微软雅黑"/>
        </w:rPr>
        <w:t>生提供生活指导、学习指导、职业生涯指导、就业创业指导、心理健康指导等，满 足师范生成长需求。</w:t>
      </w:r>
    </w:p>
    <w:p>
      <w:pPr>
        <w:pStyle w:val="BodyText"/>
        <w:spacing w:line="240" w:lineRule="auto" w:before="125"/>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建立形成性评价机制，监测师范生的学习进展情况，保证师范生在</w:t>
      </w:r>
    </w:p>
    <w:p>
      <w:pPr>
        <w:pStyle w:val="BodyText"/>
        <w:spacing w:line="414" w:lineRule="exact"/>
        <w:ind w:right="0"/>
        <w:jc w:val="both"/>
        <w:rPr>
          <w:rFonts w:ascii="微软雅黑" w:hAnsi="微软雅黑" w:cs="微软雅黑" w:eastAsia="微软雅黑"/>
        </w:rPr>
      </w:pPr>
      <w:r>
        <w:rPr>
          <w:rFonts w:ascii="微软雅黑" w:hAnsi="微软雅黑" w:cs="微软雅黑" w:eastAsia="微软雅黑"/>
        </w:rPr>
        <w:t>毕业时达到毕业要求。</w:t>
      </w:r>
    </w:p>
    <w:p>
      <w:pPr>
        <w:pStyle w:val="BodyText"/>
        <w:spacing w:line="240" w:lineRule="auto" w:before="142"/>
        <w:ind w:right="0"/>
        <w:jc w:val="both"/>
      </w:pPr>
      <w:r>
        <w:rPr/>
        <w:t>①描述说明师范生形成性评价机制的建立情况，及对师范生在整个学习过程中的表</w:t>
      </w:r>
    </w:p>
    <w:p>
      <w:pPr>
        <w:spacing w:after="0" w:line="240" w:lineRule="auto"/>
        <w:jc w:val="both"/>
        <w:sectPr>
          <w:footerReference w:type="default" r:id="rId18"/>
          <w:pgSz w:w="12240" w:h="15840"/>
          <w:pgMar w:footer="898" w:header="773" w:top="960" w:bottom="1080" w:left="1680" w:right="1680"/>
          <w:pgNumType w:start="2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left="1240" w:right="0"/>
        <w:jc w:val="left"/>
      </w:pPr>
      <w:r>
        <w:rPr/>
        <w:t>现进行跟踪与评估情况及实施成效。</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②描述说明近三年师范生学业预警情况，分析指导师范生开展自我监测和自我评价 评价的效果。</w:t>
      </w:r>
    </w:p>
    <w:p>
      <w:pPr>
        <w:pStyle w:val="BodyText"/>
        <w:spacing w:line="424" w:lineRule="auto" w:before="65"/>
        <w:ind w:left="1240" w:right="0"/>
        <w:jc w:val="left"/>
      </w:pPr>
      <w:r>
        <w:rPr/>
        <w:t>③描述说明根据学生自我监测和自我评价结果进行指导和改进用以保证师范生在毕 业时达到专业毕业要求的情况，并举例说明。</w:t>
      </w:r>
    </w:p>
    <w:p>
      <w:pPr>
        <w:pStyle w:val="BodyText"/>
        <w:spacing w:line="331" w:lineRule="exact"/>
        <w:ind w:left="1240" w:right="0"/>
        <w:jc w:val="left"/>
        <w:rPr>
          <w:rFonts w:ascii="微软雅黑" w:hAnsi="微软雅黑" w:cs="微软雅黑" w:eastAsia="微软雅黑"/>
        </w:rPr>
      </w:pPr>
      <w:r>
        <w:rPr>
          <w:rFonts w:ascii="微软雅黑" w:hAnsi="微软雅黑" w:cs="微软雅黑" w:eastAsia="微软雅黑"/>
        </w:rPr>
        <w:t>8.5[就业质量] </w:t>
      </w:r>
      <w:r>
        <w:rPr>
          <w:rFonts w:ascii="微软雅黑" w:hAnsi="微软雅黑" w:cs="微软雅黑" w:eastAsia="微软雅黑"/>
          <w:spacing w:val="1"/>
        </w:rPr>
        <w:t> </w:t>
      </w:r>
      <w:r>
        <w:rPr>
          <w:rFonts w:ascii="微软雅黑" w:hAnsi="微软雅黑" w:cs="微软雅黑" w:eastAsia="微软雅黑"/>
          <w:spacing w:val="2"/>
        </w:rPr>
        <w:t>毕业生的初次就业率不低于本地区高校毕业生就业率的平均水平，</w:t>
      </w:r>
    </w:p>
    <w:p>
      <w:pPr>
        <w:pStyle w:val="BodyText"/>
        <w:spacing w:line="412" w:lineRule="exact"/>
        <w:ind w:left="1240" w:right="0"/>
        <w:jc w:val="left"/>
        <w:rPr>
          <w:rFonts w:ascii="微软雅黑" w:hAnsi="微软雅黑" w:cs="微软雅黑" w:eastAsia="微软雅黑"/>
        </w:rPr>
      </w:pPr>
      <w:r>
        <w:rPr>
          <w:rFonts w:ascii="微软雅黑" w:hAnsi="微软雅黑" w:cs="微软雅黑" w:eastAsia="微软雅黑"/>
        </w:rPr>
        <w:t>获得教师资格证书的比例不低于</w:t>
      </w:r>
      <w:r>
        <w:rPr>
          <w:rFonts w:ascii="微软雅黑" w:hAnsi="微软雅黑" w:cs="微软雅黑" w:eastAsia="微软雅黑"/>
          <w:spacing w:val="-16"/>
        </w:rPr>
        <w:t> </w:t>
      </w:r>
      <w:r>
        <w:rPr>
          <w:rFonts w:ascii="微软雅黑" w:hAnsi="微软雅黑" w:cs="微软雅黑" w:eastAsia="微软雅黑"/>
        </w:rPr>
        <w:t>75%，且主要从事教育工作。</w:t>
      </w:r>
    </w:p>
    <w:p>
      <w:pPr>
        <w:pStyle w:val="BodyText"/>
        <w:spacing w:line="240" w:lineRule="auto" w:before="144"/>
        <w:ind w:left="1240" w:right="0"/>
        <w:jc w:val="left"/>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②列表说明近三年专业毕业生教师资格考试通过率、就业率及就业去向，并对就业 质量及毕业生从教情况进行分析。</w:t>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20"/>
          <w:szCs w:val="20"/>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829"/>
        <w:gridCol w:w="935"/>
        <w:gridCol w:w="623"/>
        <w:gridCol w:w="1144"/>
        <w:gridCol w:w="1148"/>
        <w:gridCol w:w="735"/>
        <w:gridCol w:w="590"/>
        <w:gridCol w:w="827"/>
        <w:gridCol w:w="549"/>
        <w:gridCol w:w="590"/>
      </w:tblGrid>
      <w:tr>
        <w:trPr>
          <w:trHeight w:val="478"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408"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54" w:right="0"/>
              <w:jc w:val="left"/>
              <w:rPr>
                <w:rFonts w:ascii="楷体" w:hAnsi="楷体" w:cs="楷体" w:eastAsia="楷体"/>
                <w:sz w:val="21"/>
                <w:szCs w:val="21"/>
              </w:rPr>
            </w:pPr>
            <w:r>
              <w:rPr>
                <w:rFonts w:ascii="楷体" w:hAnsi="楷体" w:cs="楷体" w:eastAsia="楷体"/>
                <w:sz w:val="21"/>
                <w:szCs w:val="21"/>
              </w:rPr>
              <w:t>毕业</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7"/>
              <w:ind w:right="0"/>
              <w:jc w:val="left"/>
              <w:rPr>
                <w:rFonts w:ascii="华文楷体" w:hAnsi="华文楷体" w:cs="华文楷体" w:eastAsia="华文楷体"/>
                <w:sz w:val="28"/>
                <w:szCs w:val="28"/>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68" w:right="0"/>
              <w:jc w:val="left"/>
              <w:rPr>
                <w:rFonts w:ascii="楷体" w:hAnsi="楷体" w:cs="楷体" w:eastAsia="楷体"/>
                <w:sz w:val="21"/>
                <w:szCs w:val="21"/>
              </w:rPr>
            </w:pPr>
            <w:r>
              <w:rPr>
                <w:rFonts w:ascii="楷体" w:hAnsi="楷体" w:cs="楷体" w:eastAsia="楷体"/>
                <w:sz w:val="21"/>
                <w:szCs w:val="21"/>
              </w:rPr>
              <w:t>获学</w:t>
            </w:r>
          </w:p>
        </w:tc>
        <w:tc>
          <w:tcPr>
            <w:tcW w:w="829" w:type="dxa"/>
            <w:vMerge w:val="restart"/>
            <w:tcBorders>
              <w:top w:val="single" w:sz="4" w:space="0" w:color="000000"/>
              <w:left w:val="single" w:sz="4" w:space="0" w:color="000000"/>
              <w:right w:val="nil" w:sz="6" w:space="0" w:color="auto"/>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4"/>
              <w:ind w:right="0"/>
              <w:jc w:val="left"/>
              <w:rPr>
                <w:rFonts w:ascii="华文楷体" w:hAnsi="华文楷体" w:cs="华文楷体" w:eastAsia="华文楷体"/>
                <w:sz w:val="16"/>
                <w:szCs w:val="16"/>
              </w:rPr>
            </w:pPr>
          </w:p>
          <w:p>
            <w:pPr>
              <w:pStyle w:val="TableParagraph"/>
              <w:spacing w:line="240" w:lineRule="auto"/>
              <w:ind w:left="120" w:right="0"/>
              <w:jc w:val="left"/>
              <w:rPr>
                <w:rFonts w:ascii="楷体" w:hAnsi="楷体" w:cs="楷体" w:eastAsia="楷体"/>
                <w:sz w:val="21"/>
                <w:szCs w:val="21"/>
              </w:rPr>
            </w:pPr>
            <w:r>
              <w:rPr>
                <w:rFonts w:ascii="楷体" w:hAnsi="楷体" w:cs="楷体" w:eastAsia="楷体"/>
                <w:sz w:val="21"/>
                <w:szCs w:val="21"/>
              </w:rPr>
              <w:t>获教师</w:t>
            </w:r>
          </w:p>
        </w:tc>
        <w:tc>
          <w:tcPr>
            <w:tcW w:w="935" w:type="dxa"/>
            <w:vMerge w:val="restart"/>
            <w:tcBorders>
              <w:top w:val="single" w:sz="4" w:space="0" w:color="000000"/>
              <w:left w:val="nil" w:sz="6" w:space="0" w:color="auto"/>
              <w:right w:val="single" w:sz="4" w:space="0" w:color="000000"/>
            </w:tcBorders>
          </w:tcPr>
          <w:p>
            <w:pPr/>
          </w:p>
        </w:tc>
        <w:tc>
          <w:tcPr>
            <w:tcW w:w="6206" w:type="dxa"/>
            <w:gridSpan w:val="8"/>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354"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tcBorders>
              <w:left w:val="single" w:sz="4" w:space="0" w:color="000000"/>
              <w:bottom w:val="nil" w:sz="6" w:space="0" w:color="auto"/>
              <w:right w:val="nil" w:sz="6" w:space="0" w:color="auto"/>
            </w:tcBorders>
          </w:tcPr>
          <w:p>
            <w:pPr/>
          </w:p>
        </w:tc>
        <w:tc>
          <w:tcPr>
            <w:tcW w:w="935" w:type="dxa"/>
            <w:vMerge/>
            <w:tcBorders>
              <w:left w:val="nil" w:sz="6" w:space="0" w:color="auto"/>
              <w:bottom w:val="nil" w:sz="6" w:space="0" w:color="auto"/>
              <w:right w:val="single" w:sz="4" w:space="0" w:color="000000"/>
            </w:tcBorders>
          </w:tcPr>
          <w:p>
            <w:pPr/>
          </w:p>
        </w:tc>
        <w:tc>
          <w:tcPr>
            <w:tcW w:w="62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1144" w:type="dxa"/>
            <w:tcBorders>
              <w:top w:val="single" w:sz="4" w:space="0" w:color="000000"/>
              <w:left w:val="single" w:sz="4" w:space="0" w:color="000000"/>
              <w:bottom w:val="nil" w:sz="6" w:space="0" w:color="auto"/>
              <w:right w:val="nil" w:sz="6" w:space="0" w:color="auto"/>
            </w:tcBorders>
          </w:tcPr>
          <w:p>
            <w:pPr>
              <w:pStyle w:val="TableParagraph"/>
              <w:spacing w:line="240" w:lineRule="auto" w:before="65"/>
              <w:ind w:left="148" w:right="0"/>
              <w:jc w:val="left"/>
              <w:rPr>
                <w:rFonts w:ascii="楷体" w:hAnsi="楷体" w:cs="楷体" w:eastAsia="楷体"/>
                <w:sz w:val="21"/>
                <w:szCs w:val="21"/>
              </w:rPr>
            </w:pPr>
            <w:r>
              <w:rPr>
                <w:rFonts w:ascii="楷体" w:hAnsi="楷体" w:cs="楷体" w:eastAsia="楷体"/>
                <w:sz w:val="21"/>
                <w:szCs w:val="21"/>
              </w:rPr>
              <w:t>政府及事</w:t>
            </w:r>
          </w:p>
        </w:tc>
        <w:tc>
          <w:tcPr>
            <w:tcW w:w="1148" w:type="dxa"/>
            <w:tcBorders>
              <w:top w:val="single" w:sz="4" w:space="0" w:color="000000"/>
              <w:left w:val="nil" w:sz="6" w:space="0" w:color="auto"/>
              <w:bottom w:val="nil" w:sz="6" w:space="0" w:color="auto"/>
              <w:right w:val="single" w:sz="4" w:space="0" w:color="000000"/>
            </w:tcBorders>
          </w:tcPr>
          <w:p>
            <w:pPr>
              <w:pStyle w:val="TableParagraph"/>
              <w:spacing w:line="240" w:lineRule="auto" w:before="65"/>
              <w:ind w:left="153" w:right="0"/>
              <w:jc w:val="left"/>
              <w:rPr>
                <w:rFonts w:ascii="楷体" w:hAnsi="楷体" w:cs="楷体" w:eastAsia="楷体"/>
                <w:sz w:val="21"/>
                <w:szCs w:val="21"/>
              </w:rPr>
            </w:pPr>
            <w:r>
              <w:rPr>
                <w:rFonts w:ascii="楷体" w:hAnsi="楷体" w:cs="楷体" w:eastAsia="楷体"/>
                <w:sz w:val="21"/>
                <w:szCs w:val="21"/>
              </w:rPr>
              <w:t>政府及事</w:t>
            </w:r>
          </w:p>
        </w:tc>
        <w:tc>
          <w:tcPr>
            <w:tcW w:w="73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240" w:lineRule="auto"/>
              <w:ind w:left="152" w:right="0"/>
              <w:jc w:val="left"/>
              <w:rPr>
                <w:rFonts w:ascii="楷体" w:hAnsi="楷体" w:cs="楷体" w:eastAsia="楷体"/>
                <w:sz w:val="21"/>
                <w:szCs w:val="21"/>
              </w:rPr>
            </w:pPr>
            <w:r>
              <w:rPr>
                <w:rFonts w:ascii="楷体" w:hAnsi="楷体" w:cs="楷体" w:eastAsia="楷体"/>
                <w:sz w:val="21"/>
                <w:szCs w:val="21"/>
              </w:rPr>
              <w:t>国有</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240" w:lineRule="auto"/>
              <w:ind w:left="198" w:right="0"/>
              <w:jc w:val="left"/>
              <w:rPr>
                <w:rFonts w:ascii="楷体" w:hAnsi="楷体" w:cs="楷体" w:eastAsia="楷体"/>
                <w:sz w:val="21"/>
                <w:szCs w:val="21"/>
              </w:rPr>
            </w:pPr>
            <w:r>
              <w:rPr>
                <w:rFonts w:ascii="楷体" w:hAnsi="楷体" w:cs="楷体" w:eastAsia="楷体"/>
                <w:sz w:val="21"/>
                <w:szCs w:val="21"/>
              </w:rPr>
              <w:t>其它</w:t>
            </w:r>
          </w:p>
        </w:tc>
        <w:tc>
          <w:tcPr>
            <w:tcW w:w="5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228"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179" w:right="0"/>
              <w:jc w:val="left"/>
              <w:rPr>
                <w:rFonts w:ascii="楷体" w:hAnsi="楷体" w:cs="楷体" w:eastAsia="楷体"/>
                <w:sz w:val="21"/>
                <w:szCs w:val="21"/>
              </w:rPr>
            </w:pPr>
            <w:r>
              <w:rPr>
                <w:rFonts w:ascii="楷体" w:hAnsi="楷体" w:cs="楷体" w:eastAsia="楷体"/>
                <w:sz w:val="21"/>
                <w:szCs w:val="21"/>
              </w:rPr>
              <w:t>一次就</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40" w:hRule="exact"/>
        </w:trPr>
        <w:tc>
          <w:tcPr>
            <w:tcW w:w="555" w:type="dxa"/>
            <w:vMerge/>
            <w:tcBorders>
              <w:left w:val="single" w:sz="4" w:space="0" w:color="000000"/>
              <w:right w:val="single" w:sz="4" w:space="0" w:color="000000"/>
            </w:tcBorders>
          </w:tcPr>
          <w:p>
            <w:pPr/>
          </w:p>
        </w:tc>
        <w:tc>
          <w:tcPr>
            <w:tcW w:w="739" w:type="dxa"/>
            <w:tcBorders>
              <w:top w:val="nil" w:sz="6" w:space="0" w:color="auto"/>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tcBorders>
              <w:top w:val="nil" w:sz="6" w:space="0" w:color="auto"/>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Style w:val="TableParagraph"/>
              <w:spacing w:line="219" w:lineRule="exact"/>
              <w:ind w:left="120" w:right="0"/>
              <w:jc w:val="left"/>
              <w:rPr>
                <w:rFonts w:ascii="楷体" w:hAnsi="楷体" w:cs="楷体" w:eastAsia="楷体"/>
                <w:sz w:val="21"/>
                <w:szCs w:val="21"/>
              </w:rPr>
            </w:pPr>
            <w:r>
              <w:rPr>
                <w:rFonts w:ascii="楷体" w:hAnsi="楷体" w:cs="楷体" w:eastAsia="楷体"/>
                <w:sz w:val="21"/>
                <w:szCs w:val="21"/>
              </w:rPr>
              <w:t>资格证</w:t>
            </w:r>
          </w:p>
        </w:tc>
        <w:tc>
          <w:tcPr>
            <w:tcW w:w="935" w:type="dxa"/>
            <w:tcBorders>
              <w:top w:val="nil" w:sz="6" w:space="0" w:color="auto"/>
              <w:left w:val="nil" w:sz="6" w:space="0" w:color="auto"/>
              <w:bottom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253" w:right="0"/>
              <w:jc w:val="left"/>
              <w:rPr>
                <w:rFonts w:ascii="楷体" w:hAnsi="楷体" w:cs="楷体" w:eastAsia="楷体"/>
                <w:sz w:val="21"/>
                <w:szCs w:val="21"/>
              </w:rPr>
            </w:pPr>
            <w:r>
              <w:rPr>
                <w:rFonts w:ascii="楷体" w:hAnsi="楷体" w:cs="楷体" w:eastAsia="楷体"/>
                <w:sz w:val="21"/>
                <w:szCs w:val="21"/>
              </w:rPr>
              <w:t>业单位</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259" w:right="0"/>
              <w:jc w:val="left"/>
              <w:rPr>
                <w:rFonts w:ascii="楷体" w:hAnsi="楷体" w:cs="楷体" w:eastAsia="楷体"/>
                <w:sz w:val="21"/>
                <w:szCs w:val="21"/>
              </w:rPr>
            </w:pPr>
            <w:r>
              <w:rPr>
                <w:rFonts w:ascii="楷体" w:hAnsi="楷体" w:cs="楷体" w:eastAsia="楷体"/>
                <w:sz w:val="21"/>
                <w:szCs w:val="21"/>
              </w:rPr>
              <w:t>业单位</w:t>
            </w:r>
          </w:p>
        </w:tc>
        <w:tc>
          <w:tcPr>
            <w:tcW w:w="735" w:type="dxa"/>
            <w:vMerge/>
            <w:tcBorders>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28" w:hRule="exact"/>
        </w:trPr>
        <w:tc>
          <w:tcPr>
            <w:tcW w:w="555" w:type="dxa"/>
            <w:vMerge/>
            <w:tcBorders>
              <w:left w:val="single" w:sz="4" w:space="0" w:color="000000"/>
              <w:right w:val="single" w:sz="4" w:space="0" w:color="000000"/>
            </w:tcBorders>
          </w:tcPr>
          <w:p>
            <w:pPr/>
          </w:p>
        </w:tc>
        <w:tc>
          <w:tcPr>
            <w:tcW w:w="739" w:type="dxa"/>
            <w:vMerge w:val="restart"/>
            <w:tcBorders>
              <w:top w:val="nil" w:sz="6" w:space="0" w:color="auto"/>
              <w:left w:val="single" w:sz="4" w:space="0" w:color="000000"/>
              <w:right w:val="single" w:sz="4" w:space="0" w:color="000000"/>
            </w:tcBorders>
          </w:tcPr>
          <w:p>
            <w:pPr>
              <w:pStyle w:val="TableParagraph"/>
              <w:spacing w:line="219" w:lineRule="exact"/>
              <w:ind w:left="154" w:right="0"/>
              <w:jc w:val="left"/>
              <w:rPr>
                <w:rFonts w:ascii="楷体" w:hAnsi="楷体" w:cs="楷体" w:eastAsia="楷体"/>
                <w:sz w:val="21"/>
                <w:szCs w:val="21"/>
              </w:rPr>
            </w:pPr>
            <w:r>
              <w:rPr>
                <w:rFonts w:ascii="楷体" w:hAnsi="楷体" w:cs="楷体" w:eastAsia="楷体"/>
                <w:sz w:val="21"/>
                <w:szCs w:val="21"/>
              </w:rPr>
              <w:t>生数</w:t>
            </w:r>
          </w:p>
        </w:tc>
        <w:tc>
          <w:tcPr>
            <w:tcW w:w="855" w:type="dxa"/>
            <w:vMerge/>
            <w:tcBorders>
              <w:left w:val="single" w:sz="4" w:space="0" w:color="000000"/>
              <w:right w:val="single" w:sz="4" w:space="0" w:color="000000"/>
            </w:tcBorders>
          </w:tcPr>
          <w:p>
            <w:pPr/>
          </w:p>
        </w:tc>
        <w:tc>
          <w:tcPr>
            <w:tcW w:w="765" w:type="dxa"/>
            <w:vMerge w:val="restart"/>
            <w:tcBorders>
              <w:top w:val="nil" w:sz="6" w:space="0" w:color="auto"/>
              <w:left w:val="single" w:sz="4" w:space="0" w:color="000000"/>
              <w:right w:val="single" w:sz="4" w:space="0" w:color="000000"/>
            </w:tcBorders>
          </w:tcPr>
          <w:p>
            <w:pPr>
              <w:pStyle w:val="TableParagraph"/>
              <w:spacing w:line="219" w:lineRule="exact"/>
              <w:ind w:left="168" w:right="0"/>
              <w:jc w:val="left"/>
              <w:rPr>
                <w:rFonts w:ascii="楷体" w:hAnsi="楷体" w:cs="楷体" w:eastAsia="楷体"/>
                <w:sz w:val="21"/>
                <w:szCs w:val="21"/>
              </w:rPr>
            </w:pPr>
            <w:r>
              <w:rPr>
                <w:rFonts w:ascii="楷体" w:hAnsi="楷体" w:cs="楷体" w:eastAsia="楷体"/>
                <w:sz w:val="21"/>
                <w:szCs w:val="21"/>
              </w:rPr>
              <w:t>位率</w:t>
            </w: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283" w:right="0"/>
              <w:jc w:val="left"/>
              <w:rPr>
                <w:rFonts w:ascii="楷体" w:hAnsi="楷体" w:cs="楷体" w:eastAsia="楷体"/>
                <w:sz w:val="21"/>
                <w:szCs w:val="21"/>
              </w:rPr>
            </w:pPr>
            <w:r>
              <w:rPr>
                <w:rFonts w:ascii="楷体" w:hAnsi="楷体" w:cs="楷体" w:eastAsia="楷体"/>
                <w:sz w:val="21"/>
                <w:szCs w:val="21"/>
              </w:rPr>
              <w:t>业率</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tcBorders>
              <w:top w:val="nil" w:sz="6" w:space="0" w:color="auto"/>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tcBorders>
              <w:top w:val="nil" w:sz="6" w:space="0" w:color="auto"/>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360"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val="restart"/>
            <w:tcBorders>
              <w:top w:val="nil" w:sz="6" w:space="0" w:color="auto"/>
              <w:left w:val="single" w:sz="4" w:space="0" w:color="000000"/>
              <w:right w:val="nil" w:sz="6" w:space="0" w:color="auto"/>
            </w:tcBorders>
          </w:tcPr>
          <w:p>
            <w:pPr>
              <w:pStyle w:val="TableParagraph"/>
              <w:spacing w:line="219" w:lineRule="exact"/>
              <w:ind w:left="226" w:right="0"/>
              <w:jc w:val="left"/>
              <w:rPr>
                <w:rFonts w:ascii="楷体" w:hAnsi="楷体" w:cs="楷体" w:eastAsia="楷体"/>
                <w:sz w:val="21"/>
                <w:szCs w:val="21"/>
              </w:rPr>
            </w:pPr>
            <w:r>
              <w:rPr>
                <w:rFonts w:ascii="楷体" w:hAnsi="楷体" w:cs="楷体" w:eastAsia="楷体"/>
                <w:sz w:val="21"/>
                <w:szCs w:val="21"/>
              </w:rPr>
              <w:t>书率</w:t>
            </w:r>
          </w:p>
        </w:tc>
        <w:tc>
          <w:tcPr>
            <w:tcW w:w="935" w:type="dxa"/>
            <w:vMerge w:val="restart"/>
            <w:tcBorders>
              <w:top w:val="nil" w:sz="6" w:space="0" w:color="auto"/>
              <w:left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148" w:right="0"/>
              <w:jc w:val="left"/>
              <w:rPr>
                <w:rFonts w:ascii="楷体" w:hAnsi="楷体" w:cs="楷体" w:eastAsia="楷体"/>
                <w:sz w:val="21"/>
                <w:szCs w:val="21"/>
              </w:rPr>
            </w:pPr>
            <w:r>
              <w:rPr>
                <w:rFonts w:ascii="楷体" w:hAnsi="楷体" w:cs="楷体" w:eastAsia="楷体"/>
                <w:sz w:val="21"/>
                <w:szCs w:val="21"/>
              </w:rPr>
              <w:t>（教育部</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153" w:right="0"/>
              <w:jc w:val="left"/>
              <w:rPr>
                <w:rFonts w:ascii="楷体" w:hAnsi="楷体" w:cs="楷体" w:eastAsia="楷体"/>
                <w:sz w:val="21"/>
                <w:szCs w:val="21"/>
              </w:rPr>
            </w:pPr>
            <w:r>
              <w:rPr>
                <w:rFonts w:ascii="楷体" w:hAnsi="楷体" w:cs="楷体" w:eastAsia="楷体"/>
                <w:sz w:val="21"/>
                <w:szCs w:val="21"/>
              </w:rPr>
              <w:t>（非教育</w:t>
            </w:r>
          </w:p>
        </w:tc>
        <w:tc>
          <w:tcPr>
            <w:tcW w:w="735" w:type="dxa"/>
            <w:vMerge w:val="restart"/>
            <w:tcBorders>
              <w:top w:val="nil" w:sz="6" w:space="0" w:color="auto"/>
              <w:left w:val="single" w:sz="4" w:space="0" w:color="000000"/>
              <w:right w:val="single" w:sz="4" w:space="0" w:color="000000"/>
            </w:tcBorders>
          </w:tcPr>
          <w:p>
            <w:pPr>
              <w:pStyle w:val="TableParagraph"/>
              <w:spacing w:line="231" w:lineRule="exact"/>
              <w:ind w:left="152" w:right="0"/>
              <w:jc w:val="left"/>
              <w:rPr>
                <w:rFonts w:ascii="楷体" w:hAnsi="楷体" w:cs="楷体" w:eastAsia="楷体"/>
                <w:sz w:val="21"/>
                <w:szCs w:val="21"/>
              </w:rPr>
            </w:pPr>
            <w:r>
              <w:rPr>
                <w:rFonts w:ascii="楷体" w:hAnsi="楷体" w:cs="楷体" w:eastAsia="楷体"/>
                <w:sz w:val="21"/>
                <w:szCs w:val="21"/>
              </w:rPr>
              <w:t>企业</w:t>
            </w:r>
          </w:p>
        </w:tc>
        <w:tc>
          <w:tcPr>
            <w:tcW w:w="590" w:type="dxa"/>
            <w:vMerge/>
            <w:tcBorders>
              <w:left w:val="single" w:sz="4" w:space="0" w:color="000000"/>
              <w:right w:val="single" w:sz="4" w:space="0" w:color="000000"/>
            </w:tcBorders>
          </w:tcPr>
          <w:p>
            <w:pPr/>
          </w:p>
        </w:tc>
        <w:tc>
          <w:tcPr>
            <w:tcW w:w="827" w:type="dxa"/>
            <w:vMerge w:val="restart"/>
            <w:tcBorders>
              <w:top w:val="nil" w:sz="6" w:space="0" w:color="auto"/>
              <w:left w:val="single" w:sz="4" w:space="0" w:color="000000"/>
              <w:right w:val="single" w:sz="4" w:space="0" w:color="000000"/>
            </w:tcBorders>
          </w:tcPr>
          <w:p>
            <w:pPr>
              <w:pStyle w:val="TableParagraph"/>
              <w:spacing w:line="231" w:lineRule="exact"/>
              <w:ind w:left="198" w:right="0"/>
              <w:jc w:val="left"/>
              <w:rPr>
                <w:rFonts w:ascii="楷体" w:hAnsi="楷体" w:cs="楷体" w:eastAsia="楷体"/>
                <w:sz w:val="21"/>
                <w:szCs w:val="21"/>
              </w:rPr>
            </w:pPr>
            <w:r>
              <w:rPr>
                <w:rFonts w:ascii="楷体" w:hAnsi="楷体" w:cs="楷体" w:eastAsia="楷体"/>
                <w:sz w:val="21"/>
                <w:szCs w:val="21"/>
              </w:rPr>
              <w:t>企业</w:t>
            </w: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472"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829" w:type="dxa"/>
            <w:vMerge/>
            <w:tcBorders>
              <w:left w:val="single" w:sz="4" w:space="0" w:color="000000"/>
              <w:bottom w:val="single" w:sz="4" w:space="0" w:color="000000"/>
              <w:right w:val="nil" w:sz="6" w:space="0" w:color="auto"/>
            </w:tcBorders>
          </w:tcPr>
          <w:p>
            <w:pPr/>
          </w:p>
        </w:tc>
        <w:tc>
          <w:tcPr>
            <w:tcW w:w="935" w:type="dxa"/>
            <w:vMerge/>
            <w:tcBorders>
              <w:left w:val="nil" w:sz="6" w:space="0" w:color="auto"/>
              <w:bottom w:val="single" w:sz="4" w:space="0" w:color="000000"/>
              <w:right w:val="single" w:sz="4" w:space="0" w:color="000000"/>
            </w:tcBorders>
          </w:tcPr>
          <w:p>
            <w:pPr/>
          </w:p>
        </w:tc>
        <w:tc>
          <w:tcPr>
            <w:tcW w:w="623" w:type="dxa"/>
            <w:vMerge/>
            <w:tcBorders>
              <w:left w:val="single" w:sz="4" w:space="0" w:color="000000"/>
              <w:bottom w:val="single" w:sz="4" w:space="0" w:color="000000"/>
              <w:right w:val="single" w:sz="4" w:space="0" w:color="000000"/>
            </w:tcBorders>
          </w:tcPr>
          <w:p>
            <w:pPr/>
          </w:p>
        </w:tc>
        <w:tc>
          <w:tcPr>
            <w:tcW w:w="1144" w:type="dxa"/>
            <w:tcBorders>
              <w:top w:val="nil" w:sz="6" w:space="0" w:color="auto"/>
              <w:left w:val="single" w:sz="4" w:space="0" w:color="000000"/>
              <w:bottom w:val="single" w:sz="4" w:space="0" w:color="000000"/>
              <w:right w:val="nil" w:sz="6" w:space="0" w:color="auto"/>
            </w:tcBorders>
          </w:tcPr>
          <w:p>
            <w:pPr>
              <w:pStyle w:val="TableParagraph"/>
              <w:spacing w:line="240" w:lineRule="auto" w:before="64"/>
              <w:ind w:left="357" w:right="0"/>
              <w:jc w:val="left"/>
              <w:rPr>
                <w:rFonts w:ascii="楷体" w:hAnsi="楷体" w:cs="楷体" w:eastAsia="楷体"/>
                <w:sz w:val="21"/>
                <w:szCs w:val="21"/>
              </w:rPr>
            </w:pPr>
            <w:r>
              <w:rPr>
                <w:rFonts w:ascii="楷体" w:hAnsi="楷体" w:cs="楷体" w:eastAsia="楷体"/>
                <w:sz w:val="21"/>
                <w:szCs w:val="21"/>
              </w:rPr>
              <w:t>门）</w:t>
            </w:r>
          </w:p>
        </w:tc>
        <w:tc>
          <w:tcPr>
            <w:tcW w:w="1148" w:type="dxa"/>
            <w:tcBorders>
              <w:top w:val="nil" w:sz="6" w:space="0" w:color="auto"/>
              <w:left w:val="nil" w:sz="6" w:space="0" w:color="auto"/>
              <w:bottom w:val="single" w:sz="4" w:space="0" w:color="000000"/>
              <w:right w:val="single" w:sz="4" w:space="0" w:color="000000"/>
            </w:tcBorders>
          </w:tcPr>
          <w:p>
            <w:pPr>
              <w:pStyle w:val="TableParagraph"/>
              <w:spacing w:line="240" w:lineRule="auto" w:before="64"/>
              <w:ind w:left="259" w:right="0"/>
              <w:jc w:val="left"/>
              <w:rPr>
                <w:rFonts w:ascii="楷体" w:hAnsi="楷体" w:cs="楷体" w:eastAsia="楷体"/>
                <w:sz w:val="21"/>
                <w:szCs w:val="21"/>
              </w:rPr>
            </w:pPr>
            <w:r>
              <w:rPr>
                <w:rFonts w:ascii="楷体" w:hAnsi="楷体" w:cs="楷体" w:eastAsia="楷体"/>
                <w:sz w:val="21"/>
                <w:szCs w:val="21"/>
              </w:rPr>
              <w:t>部门）</w:t>
            </w:r>
          </w:p>
        </w:tc>
        <w:tc>
          <w:tcPr>
            <w:tcW w:w="735"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c>
          <w:tcPr>
            <w:tcW w:w="827" w:type="dxa"/>
            <w:vMerge/>
            <w:tcBorders>
              <w:left w:val="single" w:sz="4" w:space="0" w:color="000000"/>
              <w:bottom w:val="single" w:sz="4" w:space="0" w:color="000000"/>
              <w:right w:val="single" w:sz="4" w:space="0" w:color="000000"/>
            </w:tcBorders>
          </w:tcPr>
          <w:p>
            <w:pPr/>
          </w:p>
        </w:tc>
        <w:tc>
          <w:tcPr>
            <w:tcW w:w="549"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gridSpan w:val="2"/>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gridSpan w:val="2"/>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3"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3"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9" w:lineRule="exact"/>
        <w:ind w:left="1240" w:right="0"/>
        <w:jc w:val="left"/>
        <w:rPr>
          <w:rFonts w:ascii="微软雅黑" w:hAnsi="微软雅黑" w:cs="微软雅黑" w:eastAsia="微软雅黑"/>
        </w:rPr>
      </w:pPr>
      <w:r>
        <w:rPr>
          <w:rFonts w:ascii="微软雅黑" w:hAnsi="微软雅黑" w:cs="微软雅黑" w:eastAsia="微软雅黑"/>
        </w:rPr>
        <w:t>8.6[社会声誉]</w:t>
      </w:r>
      <w:r>
        <w:rPr>
          <w:rFonts w:ascii="微软雅黑" w:hAnsi="微软雅黑" w:cs="微软雅黑" w:eastAsia="微软雅黑"/>
          <w:spacing w:val="46"/>
        </w:rPr>
        <w:t> </w:t>
      </w:r>
      <w:r>
        <w:rPr>
          <w:rFonts w:ascii="微软雅黑" w:hAnsi="微软雅黑" w:cs="微软雅黑" w:eastAsia="微软雅黑"/>
        </w:rPr>
        <w:t>毕业生社会声誉较好，用人单位满意度较高。</w:t>
      </w:r>
    </w:p>
    <w:p>
      <w:pPr>
        <w:pStyle w:val="BodyText"/>
        <w:spacing w:line="424" w:lineRule="auto" w:before="142"/>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spacing w:after="0" w:line="424" w:lineRule="auto"/>
        <w:jc w:val="left"/>
        <w:sectPr>
          <w:pgSz w:w="12240" w:h="15840"/>
          <w:pgMar w:header="773" w:footer="898" w:top="960" w:bottom="1100" w:left="560" w:right="56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left="220" w:right="0"/>
        <w:jc w:val="left"/>
        <w:rPr>
          <w:b w:val="0"/>
          <w:bCs w:val="0"/>
        </w:rPr>
      </w:pPr>
      <w:bookmarkStart w:name="第二部分：主要问题" w:id="34"/>
      <w:bookmarkEnd w:id="34"/>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10"/>
        <w:rPr>
          <w:rFonts w:ascii="楷体" w:hAnsi="楷体" w:cs="楷体" w:eastAsia="楷体"/>
          <w:sz w:val="17"/>
          <w:szCs w:val="17"/>
        </w:rPr>
      </w:pPr>
    </w:p>
    <w:p>
      <w:pPr>
        <w:pStyle w:val="Heading5"/>
        <w:spacing w:line="240" w:lineRule="auto"/>
        <w:ind w:left="220" w:right="0"/>
        <w:jc w:val="left"/>
        <w:rPr>
          <w:b w:val="0"/>
          <w:bCs w:val="0"/>
        </w:rPr>
      </w:pPr>
      <w:bookmarkStart w:name="第三部分：改进措施" w:id="35"/>
      <w:bookmarkEnd w:id="35"/>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8"/>
        <w:rPr>
          <w:rFonts w:ascii="楷体" w:hAnsi="楷体" w:cs="楷体" w:eastAsia="楷体"/>
          <w:sz w:val="14"/>
          <w:szCs w:val="14"/>
        </w:rPr>
      </w:pPr>
    </w:p>
    <w:p>
      <w:pPr>
        <w:pStyle w:val="Heading4"/>
        <w:spacing w:line="240" w:lineRule="auto"/>
        <w:ind w:left="220" w:right="0"/>
        <w:jc w:val="left"/>
        <w:rPr>
          <w:b w:val="0"/>
          <w:bCs w:val="0"/>
        </w:rPr>
      </w:pPr>
      <w:bookmarkStart w:name="附录 支撑材料清单" w:id="36"/>
      <w:bookmarkEnd w:id="36"/>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8"/>
              <w:ind w:right="0"/>
              <w:jc w:val="left"/>
              <w:rPr>
                <w:rFonts w:ascii="微软雅黑" w:hAnsi="微软雅黑" w:cs="微软雅黑" w:eastAsia="微软雅黑"/>
                <w:b/>
                <w:bCs/>
                <w:sz w:val="12"/>
                <w:szCs w:val="1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4"/>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3"/>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3"/>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header="773" w:footer="898" w:top="960" w:bottom="110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7"/>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7"/>
                <w:szCs w:val="27"/>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18"/>
                <w:szCs w:val="1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19"/>
          <w:pgSz w:w="12240" w:h="15840"/>
          <w:pgMar w:header="773" w:footer="898" w:top="960" w:bottom="1080" w:left="1580" w:right="1580"/>
        </w:sectPr>
      </w:pPr>
    </w:p>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29"/>
          <w:szCs w:val="29"/>
        </w:rPr>
      </w:pPr>
    </w:p>
    <w:p>
      <w:pPr>
        <w:spacing w:line="621" w:lineRule="exact" w:before="0"/>
        <w:ind w:left="1041" w:right="1039" w:firstLine="0"/>
        <w:jc w:val="center"/>
        <w:rPr>
          <w:rFonts w:ascii="黑体" w:hAnsi="黑体" w:cs="黑体" w:eastAsia="黑体"/>
          <w:sz w:val="52"/>
          <w:szCs w:val="52"/>
        </w:rPr>
      </w:pPr>
      <w:r>
        <w:rPr>
          <w:rFonts w:ascii="黑体" w:hAnsi="黑体" w:cs="黑体" w:eastAsia="黑体"/>
          <w:sz w:val="52"/>
          <w:szCs w:val="52"/>
        </w:rPr>
        <w:t>普通高等学校师范类专业认证</w:t>
      </w:r>
    </w:p>
    <w:p>
      <w:pPr>
        <w:spacing w:before="411"/>
        <w:ind w:left="1039" w:right="1039" w:firstLine="0"/>
        <w:jc w:val="center"/>
        <w:rPr>
          <w:rFonts w:ascii="黑体" w:hAnsi="黑体" w:cs="黑体" w:eastAsia="黑体"/>
          <w:sz w:val="52"/>
          <w:szCs w:val="52"/>
        </w:rPr>
      </w:pPr>
      <w:bookmarkStart w:name="（中学教育第三级）" w:id="37"/>
      <w:bookmarkEnd w:id="37"/>
      <w:r>
        <w:rPr/>
      </w:r>
      <w:r>
        <w:rPr>
          <w:rFonts w:ascii="黑体" w:hAnsi="黑体" w:cs="黑体" w:eastAsia="黑体"/>
          <w:sz w:val="52"/>
          <w:szCs w:val="52"/>
        </w:rPr>
        <w:t>（中学教育第三级）</w:t>
      </w:r>
    </w:p>
    <w:p>
      <w:pPr>
        <w:spacing w:before="250"/>
        <w:ind w:left="1039" w:right="1039" w:firstLine="0"/>
        <w:jc w:val="center"/>
        <w:rPr>
          <w:rFonts w:ascii="黑体" w:hAnsi="黑体" w:cs="黑体" w:eastAsia="黑体"/>
          <w:sz w:val="72"/>
          <w:szCs w:val="72"/>
        </w:rPr>
      </w:pPr>
      <w:bookmarkStart w:name="自评报告" w:id="38"/>
      <w:bookmarkEnd w:id="38"/>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spacing w:line="511" w:lineRule="auto" w:before="0"/>
        <w:ind w:left="1514" w:right="5699" w:firstLine="0"/>
        <w:jc w:val="left"/>
        <w:rPr>
          <w:rFonts w:ascii="黑体" w:hAnsi="黑体" w:cs="黑体" w:eastAsia="黑体"/>
          <w:sz w:val="28"/>
          <w:szCs w:val="28"/>
        </w:rPr>
      </w:pPr>
      <w:r>
        <w:rPr>
          <w:rFonts w:ascii="黑体" w:hAnsi="黑体" w:cs="黑体" w:eastAsia="黑体"/>
          <w:b/>
          <w:bCs/>
          <w:sz w:val="28"/>
          <w:szCs w:val="28"/>
        </w:rPr>
        <w:t>学校：</w:t>
      </w:r>
      <w:r>
        <w:rPr>
          <w:rFonts w:ascii="黑体" w:hAnsi="黑体" w:cs="黑体" w:eastAsia="黑体"/>
          <w:b/>
          <w:bCs/>
          <w:w w:val="99"/>
          <w:sz w:val="28"/>
          <w:szCs w:val="28"/>
        </w:rPr>
        <w:t> </w:t>
      </w:r>
      <w:r>
        <w:rPr>
          <w:rFonts w:ascii="黑体" w:hAnsi="黑体" w:cs="黑体" w:eastAsia="黑体"/>
          <w:b/>
          <w:bCs/>
          <w:sz w:val="28"/>
          <w:szCs w:val="28"/>
        </w:rPr>
        <w:t>专业：</w:t>
      </w:r>
      <w:r>
        <w:rPr>
          <w:rFonts w:ascii="黑体" w:hAnsi="黑体" w:cs="黑体" w:eastAsia="黑体"/>
          <w:b/>
          <w:bCs/>
          <w:w w:val="99"/>
          <w:sz w:val="28"/>
          <w:szCs w:val="28"/>
        </w:rPr>
        <w:t> </w:t>
      </w:r>
      <w:r>
        <w:rPr>
          <w:rFonts w:ascii="黑体" w:hAnsi="黑体" w:cs="黑体" w:eastAsia="黑体"/>
          <w:b/>
          <w:bCs/>
          <w:w w:val="95"/>
          <w:sz w:val="28"/>
          <w:szCs w:val="28"/>
        </w:rPr>
        <w:t>完成时间：</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w w:val="95"/>
          <w:sz w:val="28"/>
          <w:szCs w:val="28"/>
        </w:rPr>
        <w:t>联系电话：</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sz w:val="28"/>
          <w:szCs w:val="28"/>
        </w:rPr>
        <w:t>电子邮件</w:t>
      </w:r>
      <w:r>
        <w:rPr>
          <w:rFonts w:ascii="黑体" w:hAnsi="黑体" w:cs="黑体" w:eastAsia="黑体"/>
          <w:sz w:val="28"/>
          <w:szCs w:val="28"/>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headerReference w:type="default" r:id="rId20"/>
          <w:footerReference w:type="default" r:id="rId21"/>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headerReference w:type="default" r:id="rId22"/>
          <w:footerReference w:type="default" r:id="rId23"/>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headerReference w:type="default" r:id="rId24"/>
          <w:footerReference w:type="default" r:id="rId25"/>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39"/>
      <w:bookmarkEnd w:id="39"/>
      <w:r>
        <w:rPr>
          <w:b w:val="0"/>
          <w:bCs w:val="0"/>
        </w:rPr>
      </w:r>
      <w:bookmarkStart w:name="_bookmark0" w:id="40"/>
      <w:bookmarkEnd w:id="40"/>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41"/>
      <w:bookmarkEnd w:id="41"/>
      <w:r>
        <w:rPr>
          <w:b w:val="0"/>
          <w:bCs w:val="0"/>
        </w:rPr>
      </w:r>
      <w:bookmarkStart w:name="_bookmark1" w:id="42"/>
      <w:bookmarkEnd w:id="42"/>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43"/>
      <w:bookmarkEnd w:id="43"/>
      <w:r>
        <w:rPr>
          <w:b w:val="0"/>
          <w:bCs w:val="0"/>
        </w:rPr>
      </w:r>
      <w:bookmarkStart w:name="_bookmark2" w:id="44"/>
      <w:bookmarkEnd w:id="44"/>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9"/>
        <w:jc w:val="both"/>
        <w:rPr>
          <w:rFonts w:ascii="微软雅黑" w:hAnsi="微软雅黑" w:cs="微软雅黑" w:eastAsia="微软雅黑"/>
        </w:rPr>
      </w:pPr>
      <w:r>
        <w:rPr>
          <w:rFonts w:ascii="微软雅黑" w:hAnsi="微软雅黑" w:cs="微软雅黑" w:eastAsia="微软雅黑"/>
        </w:rPr>
        <w:t>1.1[目标定位]</w:t>
      </w:r>
      <w:r>
        <w:rPr>
          <w:rFonts w:ascii="微软雅黑" w:hAnsi="微软雅黑" w:cs="微软雅黑" w:eastAsia="微软雅黑"/>
          <w:spacing w:val="68"/>
        </w:rPr>
        <w:t> </w:t>
      </w:r>
      <w:r>
        <w:rPr>
          <w:rFonts w:ascii="微软雅黑" w:hAnsi="微软雅黑" w:cs="微软雅黑" w:eastAsia="微软雅黑"/>
          <w:spacing w:val="2"/>
        </w:rPr>
        <w:t>培养目标应贯彻党的教育方针，面向国家、地区基础教育改革发展</w:t>
      </w:r>
      <w:r>
        <w:rPr>
          <w:rFonts w:ascii="微软雅黑" w:hAnsi="微软雅黑" w:cs="微软雅黑" w:eastAsia="微软雅黑"/>
          <w:spacing w:val="-68"/>
        </w:rPr>
        <w:t> </w:t>
      </w:r>
      <w:r>
        <w:rPr>
          <w:rFonts w:ascii="微软雅黑" w:hAnsi="微软雅黑" w:cs="微软雅黑" w:eastAsia="微软雅黑"/>
          <w:spacing w:val="-68"/>
        </w:rPr>
      </w:r>
      <w:r>
        <w:rPr>
          <w:rFonts w:ascii="微软雅黑" w:hAnsi="微软雅黑" w:cs="微软雅黑" w:eastAsia="微软雅黑"/>
        </w:rPr>
        <w:t>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26"/>
          <w:pgSz w:w="12240" w:h="15840"/>
          <w:pgMar w:footer="700" w:header="773" w:top="960" w:bottom="88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④描述说明专业培养目标如何对接“卓越教师培养计划”要求，体现前瞻性和引领 性。</w:t>
      </w:r>
    </w:p>
    <w:p>
      <w:pPr>
        <w:spacing w:line="240" w:lineRule="auto" w:before="9"/>
        <w:rPr>
          <w:rFonts w:ascii="华文楷体" w:hAnsi="华文楷体" w:cs="华文楷体" w:eastAsia="华文楷体"/>
          <w:sz w:val="26"/>
          <w:szCs w:val="26"/>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 [目标内涵] 培养目标内容明确清晰，反映师范生毕业后 5</w:t>
      </w:r>
      <w:r>
        <w:rPr>
          <w:rFonts w:ascii="微软雅黑" w:hAnsi="微软雅黑" w:cs="微软雅黑" w:eastAsia="微软雅黑"/>
          <w:spacing w:val="-38"/>
        </w:rPr>
        <w:t> </w:t>
      </w:r>
      <w:r>
        <w:rPr>
          <w:rFonts w:ascii="微软雅黑" w:hAnsi="微软雅黑" w:cs="微软雅黑" w:eastAsia="微软雅黑"/>
        </w:rPr>
        <w:t>年左右在社会和专业</w:t>
      </w:r>
      <w:r>
        <w:rPr>
          <w:rFonts w:ascii="微软雅黑" w:hAnsi="微软雅黑" w:cs="微软雅黑" w:eastAsia="微软雅黑"/>
        </w:rPr>
        <w:t> 领域的发展预期，体现专业特色，并能够为师范生、教师、教学管理人员及其他利 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③描述并举证说明专业采取多种途径让培养目标能够为本专业师范生、教师、教学 管理人员及其他利益相关方接受、认同。</w:t>
      </w:r>
    </w:p>
    <w:p>
      <w:pPr>
        <w:spacing w:line="240" w:lineRule="auto" w:before="6"/>
        <w:rPr>
          <w:rFonts w:ascii="华文楷体" w:hAnsi="华文楷体" w:cs="华文楷体" w:eastAsia="华文楷体"/>
          <w:sz w:val="26"/>
          <w:szCs w:val="26"/>
        </w:rPr>
      </w:pPr>
    </w:p>
    <w:p>
      <w:pPr>
        <w:pStyle w:val="BodyText"/>
        <w:spacing w:line="240" w:lineRule="auto"/>
        <w:ind w:right="355"/>
        <w:jc w:val="both"/>
        <w:rPr>
          <w:rFonts w:ascii="微软雅黑" w:hAnsi="微软雅黑" w:cs="微软雅黑" w:eastAsia="微软雅黑"/>
        </w:rPr>
      </w:pPr>
      <w:r>
        <w:rPr>
          <w:rFonts w:ascii="微软雅黑" w:hAnsi="微软雅黑" w:cs="微软雅黑" w:eastAsia="微软雅黑"/>
        </w:rPr>
        <w:t>1.3 [目标评价] 定期对培养目标的合理性进行评价，并能根据评价结果对培养目标 进行必要修订。评价和修订过程应有利益相关方参与。</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spacing w:after="0" w:line="424" w:lineRule="auto"/>
        <w:jc w:val="both"/>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③描述说明师范生、教师、教学管理人员和用人单位及其他利益相关方参与专业培 养目标评价和修订过程情况。</w:t>
      </w:r>
    </w:p>
    <w:p>
      <w:pPr>
        <w:spacing w:line="240" w:lineRule="auto" w:before="0"/>
        <w:rPr>
          <w:rFonts w:ascii="华文楷体" w:hAnsi="华文楷体" w:cs="华文楷体" w:eastAsia="华文楷体"/>
          <w:sz w:val="24"/>
          <w:szCs w:val="24"/>
        </w:rPr>
      </w:pPr>
    </w:p>
    <w:p>
      <w:pPr>
        <w:spacing w:line="240" w:lineRule="auto" w:before="12"/>
        <w:rPr>
          <w:rFonts w:ascii="华文楷体" w:hAnsi="华文楷体" w:cs="华文楷体" w:eastAsia="华文楷体"/>
          <w:sz w:val="17"/>
          <w:szCs w:val="17"/>
        </w:rPr>
      </w:pPr>
    </w:p>
    <w:p>
      <w:pPr>
        <w:pStyle w:val="Heading5"/>
        <w:spacing w:line="240" w:lineRule="auto"/>
        <w:ind w:right="35"/>
        <w:jc w:val="left"/>
        <w:rPr>
          <w:b w:val="0"/>
          <w:bCs w:val="0"/>
        </w:rPr>
      </w:pPr>
      <w:bookmarkStart w:name="第二部分：主要问题" w:id="45"/>
      <w:bookmarkEnd w:id="45"/>
      <w:r>
        <w:rPr>
          <w:b w:val="0"/>
          <w:bCs w:val="0"/>
        </w:rPr>
      </w:r>
      <w:bookmarkStart w:name="_bookmark3" w:id="46"/>
      <w:bookmarkEnd w:id="46"/>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7"/>
        <w:rPr>
          <w:rFonts w:ascii="楷体" w:hAnsi="楷体" w:cs="楷体" w:eastAsia="楷体"/>
          <w:sz w:val="28"/>
          <w:szCs w:val="28"/>
        </w:rPr>
      </w:pPr>
    </w:p>
    <w:p>
      <w:pPr>
        <w:pStyle w:val="Heading5"/>
        <w:spacing w:line="240" w:lineRule="auto"/>
        <w:ind w:right="35"/>
        <w:jc w:val="left"/>
        <w:rPr>
          <w:b w:val="0"/>
          <w:bCs w:val="0"/>
        </w:rPr>
      </w:pPr>
      <w:bookmarkStart w:name="第三部分：改进措施" w:id="47"/>
      <w:bookmarkEnd w:id="47"/>
      <w:r>
        <w:rPr>
          <w:b w:val="0"/>
          <w:bCs w:val="0"/>
        </w:rPr>
      </w:r>
      <w:bookmarkStart w:name="_bookmark4" w:id="48"/>
      <w:bookmarkEnd w:id="48"/>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35"/>
        <w:jc w:val="left"/>
        <w:rPr>
          <w:b w:val="0"/>
          <w:bCs w:val="0"/>
        </w:rPr>
      </w:pPr>
      <w:bookmarkStart w:name="标准2毕业要求" w:id="49"/>
      <w:bookmarkEnd w:id="49"/>
      <w:r>
        <w:rPr>
          <w:b w:val="0"/>
          <w:bCs w:val="0"/>
        </w:rPr>
      </w:r>
      <w:bookmarkStart w:name="_bookmark5" w:id="50"/>
      <w:bookmarkEnd w:id="50"/>
      <w:r>
        <w:rPr>
          <w:b w:val="0"/>
          <w:bCs w:val="0"/>
        </w:rPr>
      </w:r>
      <w:r>
        <w:rPr/>
        <w:t>标准 2</w:t>
      </w:r>
      <w:r>
        <w:rPr>
          <w:spacing w:val="-32"/>
        </w:rPr>
        <w:t> </w:t>
      </w:r>
      <w:r>
        <w:rPr/>
        <w:t>毕业要求</w:t>
      </w:r>
      <w:r>
        <w:rPr>
          <w:b w:val="0"/>
          <w:bCs w:val="0"/>
        </w:rPr>
      </w:r>
    </w:p>
    <w:p>
      <w:pPr>
        <w:spacing w:line="240" w:lineRule="auto" w:before="14"/>
        <w:rPr>
          <w:rFonts w:ascii="微软雅黑" w:hAnsi="微软雅黑" w:cs="微软雅黑" w:eastAsia="微软雅黑"/>
          <w:b/>
          <w:bCs/>
          <w:sz w:val="23"/>
          <w:szCs w:val="23"/>
        </w:rPr>
      </w:pPr>
    </w:p>
    <w:p>
      <w:pPr>
        <w:pStyle w:val="BodyText"/>
        <w:spacing w:line="237" w:lineRule="auto"/>
        <w:ind w:right="239" w:firstLine="480"/>
        <w:jc w:val="both"/>
        <w:rPr>
          <w:rFonts w:ascii="微软雅黑" w:hAnsi="微软雅黑" w:cs="微软雅黑" w:eastAsia="微软雅黑"/>
        </w:rPr>
      </w:pPr>
      <w:r>
        <w:rPr>
          <w:rFonts w:ascii="微软雅黑" w:hAnsi="微软雅黑" w:cs="微软雅黑" w:eastAsia="微软雅黑"/>
        </w:rPr>
        <w:t>专业应根据中学教师专业标准，制定明确、公开的毕业要求。毕业要求能够支 撑培养目标，并在师范生培养全过程中分解落实。专业应通过评价证明毕业要求的 达成。专业指定的毕业要求应涵盖以下内容：</w:t>
      </w:r>
    </w:p>
    <w:p>
      <w:pPr>
        <w:pStyle w:val="BodyText"/>
        <w:tabs>
          <w:tab w:pos="539" w:val="left" w:leader="none"/>
        </w:tabs>
        <w:spacing w:line="410"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践行师德</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践行社会主义核心价值观，增进对中国特色社会主义的思想认同、 政治认同、理论认同和情感认同。贯彻党的教育方针，以立德树人为己任。遵守中 小学教师职业道德规范，具有依法执教意识，立志成为有理想信念、有道德情操、 有扎实学识、有仁爱之心的好老师。</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2.2</w:t>
      </w:r>
      <w:r>
        <w:rPr>
          <w:rFonts w:ascii="微软雅黑" w:hAnsi="微软雅黑" w:cs="微软雅黑" w:eastAsia="微软雅黑"/>
          <w:spacing w:val="4"/>
        </w:rPr>
        <w:t> </w:t>
      </w:r>
      <w:r>
        <w:rPr>
          <w:rFonts w:ascii="微软雅黑" w:hAnsi="微软雅黑" w:cs="微软雅黑" w:eastAsia="微软雅黑"/>
        </w:rPr>
        <w:t>[教育情怀]</w:t>
      </w:r>
      <w:r>
        <w:rPr>
          <w:rFonts w:ascii="微软雅黑" w:hAnsi="微软雅黑" w:cs="微软雅黑" w:eastAsia="微软雅黑"/>
          <w:spacing w:val="59"/>
        </w:rPr>
        <w:t> </w:t>
      </w:r>
      <w:r>
        <w:rPr>
          <w:rFonts w:ascii="微软雅黑" w:hAnsi="微软雅黑" w:cs="微软雅黑" w:eastAsia="微软雅黑"/>
        </w:rPr>
        <w:t>具有从教意愿，认同教师工作的意义和专业性，具有积极的情感、</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端正的态度、正确的价值观。具有人文底蕴和科学精神，尊重学生人格，富有爱心、</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责任心、事业心，工作细心、耐心，做学生锤炼品格、学习知识、创新思维、奉献 祖国的引路人。</w:t>
      </w:r>
    </w:p>
    <w:p>
      <w:pPr>
        <w:pStyle w:val="BodyText"/>
        <w:tabs>
          <w:tab w:pos="539" w:val="left" w:leader="none"/>
        </w:tabs>
        <w:spacing w:line="413"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学会教学</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2.3 [知识整合] </w:t>
      </w:r>
      <w:r>
        <w:rPr>
          <w:rFonts w:ascii="微软雅黑" w:hAnsi="微软雅黑" w:cs="微软雅黑" w:eastAsia="微软雅黑"/>
          <w:spacing w:val="2"/>
        </w:rPr>
        <w:t> </w:t>
      </w:r>
      <w:r>
        <w:rPr>
          <w:rFonts w:ascii="微软雅黑" w:hAnsi="微软雅黑" w:cs="微软雅黑" w:eastAsia="微软雅黑"/>
        </w:rPr>
        <w:t>具有较好的人文与科学素养。扎实掌握主教学科的知识体系、思想</w:t>
      </w:r>
    </w:p>
    <w:p>
      <w:pPr>
        <w:spacing w:after="0" w:line="414" w:lineRule="exact"/>
        <w:jc w:val="left"/>
        <w:rPr>
          <w:rFonts w:ascii="微软雅黑" w:hAnsi="微软雅黑" w:cs="微软雅黑" w:eastAsia="微软雅黑"/>
        </w:rPr>
        <w:sectPr>
          <w:pgSz w:w="12240" w:h="15840"/>
          <w:pgMar w:header="773" w:footer="700" w:top="960" w:bottom="880" w:left="1680" w:right="1560"/>
        </w:sectPr>
      </w:pPr>
    </w:p>
    <w:p>
      <w:pPr>
        <w:spacing w:line="240" w:lineRule="auto" w:before="9"/>
        <w:rPr>
          <w:rFonts w:ascii="微软雅黑" w:hAnsi="微软雅黑" w:cs="微软雅黑" w:eastAsia="微软雅黑"/>
          <w:sz w:val="27"/>
          <w:szCs w:val="27"/>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与方法，重点理解和掌握学科核心素养内涵；掌握兼教学科的基本知识、基本原理</w:t>
      </w:r>
    </w:p>
    <w:p>
      <w:pPr>
        <w:pStyle w:val="BodyText"/>
        <w:spacing w:line="412" w:lineRule="exact" w:before="20"/>
        <w:ind w:right="239"/>
        <w:jc w:val="both"/>
        <w:rPr>
          <w:rFonts w:ascii="微软雅黑" w:hAnsi="微软雅黑" w:cs="微软雅黑" w:eastAsia="微软雅黑"/>
        </w:rPr>
      </w:pPr>
      <w:r>
        <w:rPr>
          <w:rFonts w:ascii="微软雅黑" w:hAnsi="微软雅黑" w:cs="微软雅黑" w:eastAsia="微软雅黑"/>
        </w:rPr>
        <w:t>和技能，了解学科知识体系基本思想和方法；了解小学其他学科基本知识、基本原 理和技能，具有跨学科知识结构；对学习科学相关知识能理解并初步应用，能整合 形成学科教学知识。初步习得基于核心素养的学习指导方法和策略。</w:t>
      </w:r>
    </w:p>
    <w:p>
      <w:pPr>
        <w:pStyle w:val="BodyText"/>
        <w:spacing w:line="389" w:lineRule="exact"/>
        <w:ind w:right="0"/>
        <w:jc w:val="both"/>
        <w:rPr>
          <w:rFonts w:ascii="微软雅黑" w:hAnsi="微软雅黑" w:cs="微软雅黑" w:eastAsia="微软雅黑"/>
        </w:rPr>
      </w:pPr>
      <w:r>
        <w:rPr>
          <w:rFonts w:ascii="微软雅黑" w:hAnsi="微软雅黑" w:cs="微软雅黑" w:eastAsia="微软雅黑"/>
        </w:rPr>
        <w:t>2.4 [教学能力] </w:t>
      </w:r>
      <w:r>
        <w:rPr>
          <w:rFonts w:ascii="微软雅黑" w:hAnsi="微软雅黑" w:cs="微软雅黑" w:eastAsia="微软雅黑"/>
          <w:spacing w:val="2"/>
        </w:rPr>
        <w:t> </w:t>
      </w:r>
      <w:r>
        <w:rPr>
          <w:rFonts w:ascii="微软雅黑" w:hAnsi="微软雅黑" w:cs="微软雅黑" w:eastAsia="微软雅黑"/>
        </w:rPr>
        <w:t>理解教师是学生学习和发展的促进者。依据学科课程标准，在教育</w:t>
      </w:r>
    </w:p>
    <w:p>
      <w:pPr>
        <w:pStyle w:val="BodyText"/>
        <w:spacing w:line="412" w:lineRule="exact" w:before="20"/>
        <w:ind w:right="239"/>
        <w:jc w:val="both"/>
        <w:rPr>
          <w:rFonts w:ascii="微软雅黑" w:hAnsi="微软雅黑" w:cs="微软雅黑" w:eastAsia="微软雅黑"/>
        </w:rPr>
      </w:pPr>
      <w:r>
        <w:rPr>
          <w:rFonts w:ascii="微软雅黑" w:hAnsi="微软雅黑" w:cs="微软雅黑" w:eastAsia="微软雅黑"/>
        </w:rPr>
        <w:t>实践中，能够以学习者为中心，创设适合的学习环境，指导学习过程，进行学习评 价。具备一定的课程整合与综合性学习设计与实施能力。</w:t>
      </w:r>
    </w:p>
    <w:p>
      <w:pPr>
        <w:pStyle w:val="BodyText"/>
        <w:spacing w:line="390" w:lineRule="exact"/>
        <w:ind w:right="0"/>
        <w:jc w:val="both"/>
        <w:rPr>
          <w:rFonts w:ascii="微软雅黑" w:hAnsi="微软雅黑" w:cs="微软雅黑" w:eastAsia="微软雅黑"/>
        </w:rPr>
      </w:pPr>
      <w:r>
        <w:rPr>
          <w:rFonts w:ascii="微软雅黑" w:hAnsi="微软雅黑" w:cs="微软雅黑" w:eastAsia="微软雅黑"/>
        </w:rPr>
        <w:t>2.5 [技术融合] </w:t>
      </w:r>
      <w:r>
        <w:rPr>
          <w:rFonts w:ascii="微软雅黑" w:hAnsi="微软雅黑" w:cs="微软雅黑" w:eastAsia="微软雅黑"/>
          <w:spacing w:val="2"/>
        </w:rPr>
        <w:t> </w:t>
      </w:r>
      <w:r>
        <w:rPr>
          <w:rFonts w:ascii="微软雅黑" w:hAnsi="微软雅黑" w:cs="微软雅黑" w:eastAsia="微软雅黑"/>
        </w:rPr>
        <w:t>初步掌握应用信息技术优化学科课堂教学的方法技能，具有运用信</w:t>
      </w:r>
    </w:p>
    <w:p>
      <w:pPr>
        <w:pStyle w:val="BodyText"/>
        <w:spacing w:line="413" w:lineRule="exact"/>
        <w:ind w:right="0"/>
        <w:jc w:val="both"/>
        <w:rPr>
          <w:rFonts w:ascii="微软雅黑" w:hAnsi="微软雅黑" w:cs="微软雅黑" w:eastAsia="微软雅黑"/>
        </w:rPr>
      </w:pPr>
      <w:r>
        <w:rPr>
          <w:rFonts w:ascii="微软雅黑" w:hAnsi="微软雅黑" w:cs="微软雅黑" w:eastAsia="微软雅黑"/>
        </w:rPr>
        <w:t>息技术支持学习设计和转变学生学习方式的初步经验。</w:t>
      </w:r>
    </w:p>
    <w:p>
      <w:pPr>
        <w:pStyle w:val="BodyText"/>
        <w:spacing w:line="412"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学会育人</w:t>
      </w:r>
    </w:p>
    <w:p>
      <w:pPr>
        <w:pStyle w:val="BodyText"/>
        <w:spacing w:line="237" w:lineRule="auto" w:before="1"/>
        <w:ind w:right="235"/>
        <w:jc w:val="both"/>
        <w:rPr>
          <w:rFonts w:ascii="微软雅黑" w:hAnsi="微软雅黑" w:cs="微软雅黑" w:eastAsia="微软雅黑"/>
        </w:rPr>
      </w:pPr>
      <w:r>
        <w:rPr>
          <w:rFonts w:ascii="微软雅黑" w:hAnsi="微软雅黑" w:cs="微软雅黑" w:eastAsia="微软雅黑"/>
        </w:rPr>
        <w:t>2.6 [班级指导] 树立德育为先理念。了解小学德育原理与方法，掌握班级组织与建 设的工作规律与基本方法。掌握班集体建设、班级教育活动组织、学生发展指导、 综合素质评价、与家长及社区沟通合作等班级常规工作要点。能够在班主任工作实 践中，参与德育和心理健康教育等教育活动的组织与指导，获得积极体验。</w:t>
      </w:r>
    </w:p>
    <w:p>
      <w:pPr>
        <w:pStyle w:val="BodyText"/>
        <w:spacing w:line="237" w:lineRule="auto"/>
        <w:ind w:right="235"/>
        <w:jc w:val="both"/>
        <w:rPr>
          <w:rFonts w:ascii="微软雅黑" w:hAnsi="微软雅黑" w:cs="微软雅黑" w:eastAsia="微软雅黑"/>
        </w:rPr>
      </w:pPr>
      <w:r>
        <w:rPr>
          <w:rFonts w:ascii="微软雅黑" w:hAnsi="微软雅黑" w:cs="微软雅黑" w:eastAsia="微软雅黑"/>
        </w:rPr>
        <w:t>2.7 [综合育人] 树立育人为本的理念，掌握育人基本知识与技能，善于抓住教育契 机，促进小学生全面和个性发展。理解学科育人价值，在教育实践中，能够结合学 科教学进行育人活动。了解学校文化和教育活动的育人内涵和方法。积极参与组织 主题教育、少先队活动和社团活动。</w:t>
      </w:r>
    </w:p>
    <w:p>
      <w:pPr>
        <w:pStyle w:val="BodyText"/>
        <w:spacing w:line="410"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学会发展</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2.8 [自主学习] 具有终身学习与专业发展意识。了解专业发展核心内容和发展阶段 路径，能够结合就业愿景制订自身学习和专业发展规划。养成自主学习习惯，具有 自我管理能力。</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2.9</w:t>
      </w:r>
      <w:r>
        <w:rPr>
          <w:rFonts w:ascii="微软雅黑" w:hAnsi="微软雅黑" w:cs="微软雅黑" w:eastAsia="微软雅黑"/>
          <w:spacing w:val="4"/>
        </w:rPr>
        <w:t> </w:t>
      </w:r>
      <w:r>
        <w:rPr>
          <w:rFonts w:ascii="微软雅黑" w:hAnsi="微软雅黑" w:cs="微软雅黑" w:eastAsia="微软雅黑"/>
        </w:rPr>
        <w:t>[国际视野]</w:t>
      </w:r>
      <w:r>
        <w:rPr>
          <w:rFonts w:ascii="微软雅黑" w:hAnsi="微软雅黑" w:cs="微软雅黑" w:eastAsia="微软雅黑"/>
          <w:spacing w:val="59"/>
        </w:rPr>
        <w:t> </w:t>
      </w:r>
      <w:r>
        <w:rPr>
          <w:rFonts w:ascii="微软雅黑" w:hAnsi="微软雅黑" w:cs="微软雅黑" w:eastAsia="微软雅黑"/>
        </w:rPr>
        <w:t>具有全球意识和开放心态，了解国外基础教育改革发展的趋势和前</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沿动态。积极参与国际教育交流。尝试借鉴国际先进教育理念和经验进行教育教学。</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2.10 [反思研究]</w:t>
      </w:r>
      <w:r>
        <w:rPr>
          <w:rFonts w:ascii="微软雅黑" w:hAnsi="微软雅黑" w:cs="微软雅黑" w:eastAsia="微软雅黑"/>
          <w:spacing w:val="57"/>
        </w:rPr>
        <w:t> </w:t>
      </w:r>
      <w:r>
        <w:rPr>
          <w:rFonts w:ascii="微软雅黑" w:hAnsi="微软雅黑" w:cs="微软雅黑" w:eastAsia="微软雅黑"/>
          <w:spacing w:val="-8"/>
        </w:rPr>
        <w:t>理解教师是反思型实践者。运用批判性思维方法，养成从学生学习、</w:t>
      </w:r>
      <w:r>
        <w:rPr>
          <w:rFonts w:ascii="微软雅黑" w:hAnsi="微软雅黑" w:cs="微软雅黑" w:eastAsia="微软雅黑"/>
        </w:rPr>
        <w:t> 课程教学、学科理解等不同角度反思分析问题的习惯。掌握教育实践研究的方法和 指导学生探究学习的技能，具有一定的创新意识和教育教学研究能力。</w:t>
      </w:r>
    </w:p>
    <w:p>
      <w:pPr>
        <w:pStyle w:val="BodyText"/>
        <w:spacing w:line="412" w:lineRule="exact" w:before="18"/>
        <w:ind w:right="35"/>
        <w:jc w:val="left"/>
        <w:rPr>
          <w:rFonts w:ascii="微软雅黑" w:hAnsi="微软雅黑" w:cs="微软雅黑" w:eastAsia="微软雅黑"/>
        </w:rPr>
      </w:pPr>
      <w:r>
        <w:rPr>
          <w:rFonts w:ascii="微软雅黑" w:hAnsi="微软雅黑" w:cs="微软雅黑" w:eastAsia="微软雅黑"/>
        </w:rPr>
        <w:t>2.11 [交流合作]</w:t>
      </w:r>
      <w:r>
        <w:rPr>
          <w:rFonts w:ascii="微软雅黑" w:hAnsi="微软雅黑" w:cs="微软雅黑" w:eastAsia="微软雅黑"/>
          <w:spacing w:val="49"/>
        </w:rPr>
        <w:t> </w:t>
      </w:r>
      <w:r>
        <w:rPr>
          <w:rFonts w:ascii="微软雅黑" w:hAnsi="微软雅黑" w:cs="微软雅黑" w:eastAsia="微软雅黑"/>
        </w:rPr>
        <w:t>理解学习共同体的作用，具有团队协作精神，掌握沟通合作技能，</w:t>
      </w:r>
      <w:r>
        <w:rPr>
          <w:rFonts w:ascii="微软雅黑" w:hAnsi="微软雅黑" w:cs="微软雅黑" w:eastAsia="微软雅黑"/>
        </w:rPr>
        <w:t> 积极开展小组互助和合作学习。</w:t>
      </w:r>
    </w:p>
    <w:p>
      <w:pPr>
        <w:spacing w:after="0" w:line="412" w:lineRule="exact"/>
        <w:jc w:val="left"/>
        <w:rPr>
          <w:rFonts w:ascii="微软雅黑" w:hAnsi="微软雅黑" w:cs="微软雅黑" w:eastAsia="微软雅黑"/>
        </w:rPr>
        <w:sectPr>
          <w:headerReference w:type="default" r:id="rId27"/>
          <w:pgSz w:w="12240" w:h="15840"/>
          <w:pgMar w:header="773" w:footer="700" w:top="960" w:bottom="880" w:left="1680" w:right="1560"/>
        </w:sectPr>
      </w:pPr>
    </w:p>
    <w:p>
      <w:pPr>
        <w:spacing w:line="240" w:lineRule="auto" w:before="0"/>
        <w:rPr>
          <w:rFonts w:ascii="微软雅黑" w:hAnsi="微软雅黑" w:cs="微软雅黑" w:eastAsia="微软雅黑"/>
          <w:sz w:val="20"/>
          <w:szCs w:val="20"/>
        </w:rPr>
      </w:pPr>
    </w:p>
    <w:p>
      <w:pPr>
        <w:spacing w:line="240" w:lineRule="auto" w:before="11"/>
        <w:rPr>
          <w:rFonts w:ascii="微软雅黑" w:hAnsi="微软雅黑" w:cs="微软雅黑" w:eastAsia="微软雅黑"/>
          <w:sz w:val="13"/>
          <w:szCs w:val="13"/>
        </w:rPr>
      </w:pPr>
    </w:p>
    <w:p>
      <w:pPr>
        <w:pStyle w:val="Heading5"/>
        <w:spacing w:line="355" w:lineRule="exact"/>
        <w:ind w:right="0"/>
        <w:jc w:val="both"/>
        <w:rPr>
          <w:b w:val="0"/>
          <w:bCs w:val="0"/>
        </w:rPr>
      </w:pPr>
      <w:bookmarkStart w:name="第一部分：达标情况" w:id="51"/>
      <w:bookmarkEnd w:id="51"/>
      <w:r>
        <w:rPr>
          <w:b w:val="0"/>
          <w:bCs w:val="0"/>
        </w:rPr>
      </w:r>
      <w:bookmarkStart w:name="_bookmark6" w:id="52"/>
      <w:bookmarkEnd w:id="52"/>
      <w:r>
        <w:rPr>
          <w:b w:val="0"/>
          <w:bCs w:val="0"/>
        </w:rPr>
      </w:r>
      <w:r>
        <w:rPr/>
        <w:t>第一部分：达标情况</w:t>
      </w:r>
      <w:r>
        <w:rPr>
          <w:b w:val="0"/>
          <w:bCs w:val="0"/>
        </w:rPr>
      </w:r>
    </w:p>
    <w:p>
      <w:pPr>
        <w:pStyle w:val="BodyText"/>
        <w:spacing w:line="312" w:lineRule="exact" w:before="148"/>
        <w:ind w:right="23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9"/>
        <w:ind w:left="120" w:right="0" w:firstLine="0"/>
        <w:jc w:val="both"/>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1"/>
        <w:rPr>
          <w:rFonts w:ascii="华文楷体" w:hAnsi="华文楷体" w:cs="华文楷体" w:eastAsia="华文楷体"/>
          <w:sz w:val="16"/>
          <w:szCs w:val="16"/>
        </w:rPr>
      </w:pPr>
    </w:p>
    <w:p>
      <w:pPr>
        <w:pStyle w:val="BodyText"/>
        <w:spacing w:line="240" w:lineRule="auto"/>
        <w:ind w:right="0"/>
        <w:jc w:val="both"/>
      </w:pPr>
      <w:r>
        <w:rPr/>
        <w:t>②列表说明专业毕业要求对专业培养目标的对应支撑情况并进行分析。</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8"/>
          <w:szCs w:val="28"/>
        </w:rPr>
      </w:pPr>
    </w:p>
    <w:p>
      <w:pPr>
        <w:pStyle w:val="BodyText"/>
        <w:spacing w:line="424" w:lineRule="auto"/>
        <w:ind w:right="35"/>
        <w:jc w:val="left"/>
      </w:pPr>
      <w:r>
        <w:rPr/>
        <w:t>③列表说明专业毕业要求对认证标准“毕业要求”11</w:t>
      </w:r>
      <w:r>
        <w:rPr>
          <w:spacing w:val="-18"/>
        </w:rPr>
        <w:t> </w:t>
      </w:r>
      <w:r>
        <w:rPr>
          <w:spacing w:val="-3"/>
        </w:rPr>
        <w:t>条（2.1-2.11）的覆盖情况并进</w:t>
      </w:r>
      <w:r>
        <w:rPr/>
        <w:t> </w:t>
      </w:r>
      <w:r>
        <w:rPr>
          <w:spacing w:val="-5"/>
        </w:rPr>
        <w:t>行分析（专业不宜照搬这 </w:t>
      </w:r>
      <w:r>
        <w:rPr/>
        <w:t>11</w:t>
      </w:r>
      <w:r>
        <w:rPr>
          <w:spacing w:val="26"/>
        </w:rPr>
        <w:t> </w:t>
      </w:r>
      <w:r>
        <w:rPr>
          <w:spacing w:val="-3"/>
        </w:rPr>
        <w:t>条要求，而应结合本专业培养目标制定出自己的毕业要</w:t>
      </w:r>
    </w:p>
    <w:p>
      <w:pPr>
        <w:pStyle w:val="BodyText"/>
        <w:spacing w:line="240" w:lineRule="auto" w:before="65"/>
        <w:ind w:right="35"/>
        <w:jc w:val="left"/>
      </w:pPr>
      <w:r>
        <w:rPr/>
        <w:t>求，并在广度、深度和程度上完全覆盖认证标准 11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1968" w:right="2086"/>
        <w:jc w:val="center"/>
      </w:pPr>
      <w:r>
        <w:rPr/>
        <w:t>专业毕业要求与认证标准毕业要求 11 条对照表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spacing w:after="0" w:line="424"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left="2640" w:right="0"/>
        <w:jc w:val="left"/>
      </w:pPr>
      <w:r>
        <w:rPr/>
        <w:t>最近一次毕业要求达成评价结果表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9"/>
          <w:szCs w:val="19"/>
        </w:rPr>
      </w:pPr>
    </w:p>
    <w:p>
      <w:pPr>
        <w:pStyle w:val="Heading5"/>
        <w:spacing w:line="355" w:lineRule="exact"/>
        <w:ind w:right="0"/>
        <w:jc w:val="both"/>
        <w:rPr>
          <w:b w:val="0"/>
          <w:bCs w:val="0"/>
        </w:rPr>
      </w:pPr>
      <w:bookmarkStart w:name="第二部分：主要问题" w:id="53"/>
      <w:bookmarkEnd w:id="53"/>
      <w:r>
        <w:rPr>
          <w:b w:val="0"/>
          <w:bCs w:val="0"/>
        </w:rPr>
      </w:r>
      <w:bookmarkStart w:name="_bookmark7" w:id="54"/>
      <w:bookmarkEnd w:id="54"/>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0"/>
        <w:jc w:val="both"/>
        <w:rPr>
          <w:b w:val="0"/>
          <w:bCs w:val="0"/>
        </w:rPr>
      </w:pPr>
      <w:bookmarkStart w:name="第三部分：改进措施" w:id="55"/>
      <w:bookmarkEnd w:id="55"/>
      <w:r>
        <w:rPr>
          <w:b w:val="0"/>
          <w:bCs w:val="0"/>
        </w:rPr>
      </w:r>
      <w:bookmarkStart w:name="_bookmark8" w:id="56"/>
      <w:bookmarkEnd w:id="56"/>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3课程与教学" w:id="57"/>
      <w:bookmarkEnd w:id="57"/>
      <w:r>
        <w:rPr>
          <w:b w:val="0"/>
          <w:bCs w:val="0"/>
        </w:rPr>
      </w:r>
      <w:bookmarkStart w:name="_bookmark9" w:id="58"/>
      <w:bookmarkEnd w:id="58"/>
      <w:r>
        <w:rPr>
          <w:b w:val="0"/>
          <w:bCs w:val="0"/>
        </w:rPr>
      </w:r>
      <w:r>
        <w:rPr/>
        <w:t>标准 3</w:t>
      </w:r>
      <w:r>
        <w:rPr>
          <w:spacing w:val="-32"/>
        </w:rPr>
        <w:t> </w:t>
      </w:r>
      <w:r>
        <w:rPr/>
        <w:t>课程与教学</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59"/>
      <w:bookmarkEnd w:id="59"/>
      <w:r>
        <w:rPr>
          <w:b w:val="0"/>
          <w:bCs w:val="0"/>
        </w:rPr>
      </w:r>
      <w:bookmarkStart w:name="_bookmark10" w:id="60"/>
      <w:bookmarkEnd w:id="60"/>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3"/>
        <w:ind w:right="0"/>
        <w:jc w:val="left"/>
        <w:rPr>
          <w:rFonts w:ascii="微软雅黑" w:hAnsi="微软雅黑" w:cs="微软雅黑" w:eastAsia="微软雅黑"/>
        </w:rPr>
      </w:pPr>
      <w:r>
        <w:rPr>
          <w:rFonts w:ascii="微软雅黑" w:hAnsi="微软雅黑" w:cs="微软雅黑" w:eastAsia="微软雅黑"/>
        </w:rPr>
        <w:t>3.1</w:t>
      </w:r>
      <w:r>
        <w:rPr>
          <w:rFonts w:ascii="微软雅黑" w:hAnsi="微软雅黑" w:cs="微软雅黑" w:eastAsia="微软雅黑"/>
          <w:spacing w:val="13"/>
        </w:rPr>
        <w:t> </w:t>
      </w:r>
      <w:r>
        <w:rPr>
          <w:rFonts w:ascii="微软雅黑" w:hAnsi="微软雅黑" w:cs="微软雅黑" w:eastAsia="微软雅黑"/>
          <w:spacing w:val="-3"/>
        </w:rPr>
        <w:t>[课程设置]课程设置应符合中学教师专业标准和教师教育课程标准要求，跟踪对</w:t>
      </w:r>
      <w:r>
        <w:rPr>
          <w:rFonts w:ascii="微软雅黑" w:hAnsi="微软雅黑" w:cs="微软雅黑" w:eastAsia="微软雅黑"/>
          <w:spacing w:val="-69"/>
        </w:rPr>
        <w:t> </w:t>
      </w:r>
      <w:r>
        <w:rPr>
          <w:rFonts w:ascii="微软雅黑" w:hAnsi="微软雅黑" w:cs="微软雅黑" w:eastAsia="微软雅黑"/>
          <w:spacing w:val="-69"/>
        </w:rPr>
      </w:r>
      <w:r>
        <w:rPr>
          <w:rFonts w:ascii="微软雅黑" w:hAnsi="微软雅黑" w:cs="微软雅黑" w:eastAsia="微软雅黑"/>
        </w:rPr>
        <w:t>接基础教育课程改革前沿，能够支撑毕业要求达成。</w:t>
      </w:r>
    </w:p>
    <w:p>
      <w:pPr>
        <w:spacing w:line="240" w:lineRule="auto" w:before="4"/>
        <w:rPr>
          <w:rFonts w:ascii="微软雅黑" w:hAnsi="微软雅黑" w:cs="微软雅黑" w:eastAsia="微软雅黑"/>
          <w:sz w:val="14"/>
          <w:szCs w:val="14"/>
        </w:rPr>
      </w:pPr>
    </w:p>
    <w:p>
      <w:pPr>
        <w:pStyle w:val="BodyText"/>
        <w:spacing w:line="240" w:lineRule="auto"/>
        <w:ind w:right="0"/>
        <w:jc w:val="both"/>
      </w:pPr>
      <w:r>
        <w:rPr/>
        <w:t>① </w:t>
      </w:r>
      <w:r>
        <w:rPr>
          <w:spacing w:val="20"/>
        </w:rPr>
        <w:t> </w:t>
      </w:r>
      <w:r>
        <w:rPr>
          <w:spacing w:val="-4"/>
        </w:rPr>
        <w:t>描述说明现行培养方案中课程体系整体架构与特点，学分认定的规则。展示现行</w:t>
      </w:r>
    </w:p>
    <w:p>
      <w:pPr>
        <w:spacing w:after="0" w:line="240"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left="220" w:right="0"/>
        <w:jc w:val="left"/>
        <w:rPr>
          <w:rFonts w:ascii="华文楷体" w:hAnsi="华文楷体" w:cs="华文楷体" w:eastAsia="华文楷体"/>
        </w:rPr>
      </w:pPr>
      <w:r>
        <w:rPr/>
        <w:t>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spacing w:line="240" w:lineRule="auto" w:before="11"/>
        <w:rPr>
          <w:rFonts w:ascii="华文楷体" w:hAnsi="华文楷体" w:cs="华文楷体" w:eastAsia="华文楷体"/>
          <w:b/>
          <w:bCs/>
          <w:sz w:val="26"/>
          <w:szCs w:val="26"/>
        </w:rPr>
      </w:pPr>
    </w:p>
    <w:p>
      <w:pPr>
        <w:pStyle w:val="BodyText"/>
        <w:spacing w:line="424" w:lineRule="auto"/>
        <w:ind w:left="220" w:right="0"/>
        <w:jc w:val="left"/>
      </w:pPr>
      <w:r>
        <w:rPr/>
        <w:pict>
          <v:shape style="position:absolute;margin-left:84.360001pt;margin-top:57.617489pt;width:443.55pt;height:159pt;mso-position-horizontal-relative:page;mso-position-vertical-relative:paragraph;z-index:121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268" w:firstLine="0"/>
        <w:jc w:val="both"/>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line="240" w:lineRule="auto" w:before="9"/>
        <w:rPr>
          <w:rFonts w:ascii="华文楷体" w:hAnsi="华文楷体" w:cs="华文楷体" w:eastAsia="华文楷体"/>
          <w:sz w:val="19"/>
          <w:szCs w:val="19"/>
        </w:rPr>
      </w:pPr>
    </w:p>
    <w:p>
      <w:pPr>
        <w:pStyle w:val="BodyText"/>
        <w:spacing w:line="424" w:lineRule="auto"/>
        <w:ind w:left="220" w:right="219"/>
        <w:jc w:val="both"/>
      </w:pPr>
      <w:r>
        <w:rPr/>
        <w:t>③列表说明课程体系设置符合中学教师专业标准、教师教育课程标准和专业教学相 关标准要求，跟踪对接国际基础教育改革新趋势、新动向情况，及用于支撑专业培 养目标特色和优势的课程情况并进行分析。</w:t>
      </w:r>
    </w:p>
    <w:p>
      <w:pPr>
        <w:pStyle w:val="BodyText"/>
        <w:spacing w:line="237" w:lineRule="auto" w:before="78"/>
        <w:ind w:left="220" w:right="215"/>
        <w:jc w:val="both"/>
        <w:rPr>
          <w:rFonts w:ascii="微软雅黑" w:hAnsi="微软雅黑" w:cs="微软雅黑" w:eastAsia="微软雅黑"/>
        </w:rPr>
      </w:pPr>
      <w:r>
        <w:rPr>
          <w:rFonts w:ascii="微软雅黑" w:hAnsi="微软雅黑" w:cs="微软雅黑" w:eastAsia="微软雅黑"/>
        </w:rPr>
        <w:t>3.2 [课程结构] 课程结构体现通识教育、学科专业教育与教师教育深度融合，理论 课程与实践课程、必修课与选修课设置合理。各类课程学分比例恰当，通识教育课 程中的人文社会与科学素养课程学分不低于总学分的</w:t>
      </w:r>
      <w:r>
        <w:rPr>
          <w:rFonts w:ascii="微软雅黑" w:hAnsi="微软雅黑" w:cs="微软雅黑" w:eastAsia="微软雅黑"/>
          <w:spacing w:val="-7"/>
        </w:rPr>
        <w:t> </w:t>
      </w:r>
      <w:r>
        <w:rPr>
          <w:rFonts w:ascii="微软雅黑" w:hAnsi="微软雅黑" w:cs="微软雅黑" w:eastAsia="微软雅黑"/>
          <w:spacing w:val="-6"/>
        </w:rPr>
        <w:t>10%，学科专业课程学分不低</w:t>
      </w:r>
      <w:r>
        <w:rPr>
          <w:rFonts w:ascii="微软雅黑" w:hAnsi="微软雅黑" w:cs="微软雅黑" w:eastAsia="微软雅黑"/>
        </w:rPr>
        <w:t> 于总学分的</w:t>
      </w:r>
      <w:r>
        <w:rPr>
          <w:rFonts w:ascii="微软雅黑" w:hAnsi="微软雅黑" w:cs="微软雅黑" w:eastAsia="微软雅黑"/>
          <w:spacing w:val="-16"/>
        </w:rPr>
        <w:t> </w:t>
      </w:r>
      <w:r>
        <w:rPr>
          <w:rFonts w:ascii="微软雅黑" w:hAnsi="微软雅黑" w:cs="微软雅黑" w:eastAsia="微软雅黑"/>
        </w:rPr>
        <w:t>50%，教师教育课程达到教师教育课程标准规定的学分要求。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left="220"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left="220" w:right="219"/>
        <w:jc w:val="both"/>
      </w:pPr>
      <w:r>
        <w:rPr/>
        <w:t>②描述说明各类课程设置与学分比例达到认证标准并能够满足“一践行三学会”养 成教育要求。</w:t>
      </w:r>
    </w:p>
    <w:p>
      <w:pPr>
        <w:pStyle w:val="BodyText"/>
        <w:spacing w:line="410" w:lineRule="exact" w:before="98"/>
        <w:ind w:left="220" w:right="215"/>
        <w:jc w:val="both"/>
        <w:rPr>
          <w:rFonts w:ascii="微软雅黑" w:hAnsi="微软雅黑" w:cs="微软雅黑" w:eastAsia="微软雅黑"/>
        </w:rPr>
      </w:pPr>
      <w:r>
        <w:rPr>
          <w:rFonts w:ascii="微软雅黑" w:hAnsi="微软雅黑" w:cs="微软雅黑" w:eastAsia="微软雅黑"/>
        </w:rPr>
        <w:t>3.3 [课程内容] 课程内容注重基础性、科学性、综合性、实践性，把社会主义核心 价值观、师德教育有机融入课程教学中。选用优秀教材，吸收学科前沿知识，引入</w:t>
      </w:r>
    </w:p>
    <w:p>
      <w:pPr>
        <w:spacing w:after="0" w:line="410" w:lineRule="exact"/>
        <w:jc w:val="both"/>
        <w:rPr>
          <w:rFonts w:ascii="微软雅黑" w:hAnsi="微软雅黑" w:cs="微软雅黑" w:eastAsia="微软雅黑"/>
        </w:rPr>
        <w:sectPr>
          <w:pgSz w:w="12240" w:h="15840"/>
          <w:pgMar w:header="773" w:footer="700" w:top="960" w:bottom="880" w:left="1580" w:right="158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35"/>
        <w:jc w:val="left"/>
        <w:rPr>
          <w:rFonts w:ascii="微软雅黑" w:hAnsi="微软雅黑" w:cs="微软雅黑" w:eastAsia="微软雅黑"/>
        </w:rPr>
      </w:pPr>
      <w:r>
        <w:rPr>
          <w:rFonts w:ascii="微软雅黑" w:hAnsi="微软雅黑" w:cs="微软雅黑" w:eastAsia="微软雅黑"/>
        </w:rPr>
        <w:t>课程改革和教育研究最新成果、优秀中学教育教学案例，并能够结合师范生学习状</w:t>
      </w:r>
    </w:p>
    <w:p>
      <w:pPr>
        <w:pStyle w:val="BodyText"/>
        <w:spacing w:line="412" w:lineRule="exact" w:before="20"/>
        <w:ind w:right="35"/>
        <w:jc w:val="left"/>
        <w:rPr>
          <w:rFonts w:ascii="微软雅黑" w:hAnsi="微软雅黑" w:cs="微软雅黑" w:eastAsia="微软雅黑"/>
        </w:rPr>
      </w:pPr>
      <w:r>
        <w:rPr>
          <w:rFonts w:ascii="微软雅黑" w:hAnsi="微软雅黑" w:cs="微软雅黑" w:eastAsia="微软雅黑"/>
        </w:rPr>
        <w:t>况及时更新、完善课程内容，形成促进师范生主体发展的多样性、特色化的课程文 化。</w:t>
      </w:r>
    </w:p>
    <w:p>
      <w:pPr>
        <w:spacing w:line="240" w:lineRule="auto" w:before="5"/>
        <w:rPr>
          <w:rFonts w:ascii="微软雅黑" w:hAnsi="微软雅黑" w:cs="微软雅黑" w:eastAsia="微软雅黑"/>
          <w:sz w:val="16"/>
          <w:szCs w:val="16"/>
        </w:rPr>
      </w:pPr>
    </w:p>
    <w:p>
      <w:pPr>
        <w:pStyle w:val="BodyText"/>
        <w:spacing w:line="424" w:lineRule="auto"/>
        <w:ind w:right="35"/>
        <w:jc w:val="left"/>
      </w:pPr>
      <w:r>
        <w:rPr/>
        <w:t>①描述说明课程内容体现中学教育专业性，注重基础性、科学性、综合性和实践性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③描述说明课程内容引入课程改革和教育研究最新成果和青少年发展与教育研究最 新成果、优秀中学教育教学案例的情况，并举例说明。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35"/>
        <w:jc w:val="left"/>
      </w:pPr>
      <w:r>
        <w:rPr/>
        <w:t>④描述说明课程内容更新、动态调整机制及执行情况。</w:t>
      </w:r>
    </w:p>
    <w:p>
      <w:pPr>
        <w:spacing w:line="240" w:lineRule="auto" w:before="3"/>
        <w:rPr>
          <w:rFonts w:ascii="华文楷体" w:hAnsi="华文楷体" w:cs="华文楷体" w:eastAsia="华文楷体"/>
          <w:sz w:val="29"/>
          <w:szCs w:val="29"/>
        </w:rPr>
      </w:pPr>
    </w:p>
    <w:p>
      <w:pPr>
        <w:pStyle w:val="BodyText"/>
        <w:spacing w:line="240" w:lineRule="auto"/>
        <w:ind w:right="35"/>
        <w:jc w:val="left"/>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3.4</w:t>
      </w:r>
      <w:r>
        <w:rPr>
          <w:rFonts w:ascii="微软雅黑" w:hAnsi="微软雅黑" w:cs="微软雅黑" w:eastAsia="微软雅黑"/>
          <w:spacing w:val="4"/>
        </w:rPr>
        <w:t> </w:t>
      </w:r>
      <w:r>
        <w:rPr>
          <w:rFonts w:ascii="微软雅黑" w:hAnsi="微软雅黑" w:cs="微软雅黑" w:eastAsia="微软雅黑"/>
        </w:rPr>
        <w:t>[课程实施]</w:t>
      </w:r>
      <w:r>
        <w:rPr>
          <w:rFonts w:ascii="微软雅黑" w:hAnsi="微软雅黑" w:cs="微软雅黑" w:eastAsia="微软雅黑"/>
          <w:spacing w:val="59"/>
        </w:rPr>
        <w:t> </w:t>
      </w:r>
      <w:r>
        <w:rPr>
          <w:rFonts w:ascii="微软雅黑" w:hAnsi="微软雅黑" w:cs="微软雅黑" w:eastAsia="微软雅黑"/>
        </w:rPr>
        <w:t>重视课堂教学在培养过程中的基础作用。依据毕业要求制定课程目</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rPr>
        <w:t>标和教学大纲，教学内容、教学方法、考核内容与方式应支持课程目标的实现。注 重师范生的主体参与和实践体验，注重以课堂教学、课外指导提升自主学习能力， 注重应用信息技术推进教与学的改革。技能训练课程实行小班教学，形式多样，富 </w:t>
      </w:r>
      <w:r>
        <w:rPr>
          <w:rFonts w:ascii="微软雅黑" w:hAnsi="微软雅黑" w:cs="微软雅黑" w:eastAsia="微软雅黑"/>
          <w:spacing w:val="-4"/>
        </w:rPr>
        <w:t>有成效，师范生“三字一话”等从教基本功扎实。校园文化活动具有教师教育特色，</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有利于养成从教信念、专业素养与创新能力。</w:t>
      </w:r>
    </w:p>
    <w:p>
      <w:pPr>
        <w:spacing w:line="240" w:lineRule="auto" w:before="8"/>
        <w:rPr>
          <w:rFonts w:ascii="微软雅黑" w:hAnsi="微软雅黑" w:cs="微软雅黑" w:eastAsia="微软雅黑"/>
          <w:sz w:val="17"/>
          <w:szCs w:val="17"/>
        </w:rPr>
      </w:pPr>
    </w:p>
    <w:p>
      <w:pPr>
        <w:pStyle w:val="BodyText"/>
        <w:spacing w:line="240" w:lineRule="auto"/>
        <w:ind w:right="35"/>
        <w:jc w:val="left"/>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35"/>
        <w:jc w:val="left"/>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240" w:lineRule="auto"/>
        <w:ind w:right="35"/>
        <w:jc w:val="left"/>
      </w:pPr>
      <w:r>
        <w:rPr/>
        <w:t>③描述说明专业注重师范生的主体参与和实践体验，以课堂教学、课外指导提升自</w:t>
      </w:r>
    </w:p>
    <w:p>
      <w:pPr>
        <w:spacing w:after="0" w:line="240" w:lineRule="auto"/>
        <w:jc w:val="left"/>
        <w:sectPr>
          <w:headerReference w:type="default" r:id="rId28"/>
          <w:footerReference w:type="default" r:id="rId29"/>
          <w:pgSz w:w="12240" w:h="15840"/>
          <w:pgMar w:header="0" w:footer="700" w:top="880" w:bottom="880" w:left="1680" w:right="1560"/>
          <w:pgNumType w:start="8"/>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left"/>
      </w:pPr>
      <w:r>
        <w:rPr/>
        <w:t>主学习能力，应用信息技术推进教与学的改革情况。</w:t>
      </w:r>
    </w:p>
    <w:p>
      <w:pPr>
        <w:spacing w:line="240" w:lineRule="auto" w:before="3"/>
        <w:rPr>
          <w:rFonts w:ascii="华文楷体" w:hAnsi="华文楷体" w:cs="华文楷体" w:eastAsia="华文楷体"/>
          <w:sz w:val="29"/>
          <w:szCs w:val="29"/>
        </w:rPr>
      </w:pPr>
    </w:p>
    <w:p>
      <w:pPr>
        <w:pStyle w:val="BodyText"/>
        <w:spacing w:line="424" w:lineRule="auto"/>
        <w:ind w:right="0"/>
        <w:jc w:val="left"/>
      </w:pPr>
      <w:r>
        <w:rPr/>
        <w:t>④描述说明教师基本技能、中学教师“三字一话”等从教基本功训练以及师德养成 教育情况与效果。</w:t>
      </w:r>
    </w:p>
    <w:p>
      <w:pPr>
        <w:spacing w:line="240" w:lineRule="auto" w:before="1"/>
        <w:rPr>
          <w:rFonts w:ascii="华文楷体" w:hAnsi="华文楷体" w:cs="华文楷体" w:eastAsia="华文楷体"/>
          <w:sz w:val="15"/>
          <w:szCs w:val="15"/>
        </w:rPr>
      </w:pPr>
    </w:p>
    <w:p>
      <w:pPr>
        <w:pStyle w:val="BodyText"/>
        <w:spacing w:line="240" w:lineRule="auto"/>
        <w:ind w:right="0"/>
        <w:jc w:val="left"/>
      </w:pPr>
      <w:r>
        <w:rPr>
          <w:rFonts w:ascii="楷体" w:hAnsi="楷体" w:cs="楷体" w:eastAsia="楷体"/>
        </w:rPr>
        <w:t>⑤</w:t>
      </w:r>
      <w:r>
        <w:rPr/>
        <w:t>描述说明校园文化活动对师范生从教信仰、专业素养与创新能力培养的作用。</w:t>
      </w:r>
    </w:p>
    <w:p>
      <w:pPr>
        <w:spacing w:line="240" w:lineRule="auto" w:before="12"/>
        <w:rPr>
          <w:rFonts w:ascii="华文楷体" w:hAnsi="华文楷体" w:cs="华文楷体" w:eastAsia="华文楷体"/>
          <w:sz w:val="20"/>
          <w:szCs w:val="20"/>
        </w:rPr>
      </w:pPr>
    </w:p>
    <w:p>
      <w:pPr>
        <w:pStyle w:val="BodyText"/>
        <w:spacing w:line="410" w:lineRule="exact"/>
        <w:ind w:right="0"/>
        <w:jc w:val="left"/>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6"/>
        <w:rPr>
          <w:rFonts w:ascii="微软雅黑" w:hAnsi="微软雅黑" w:cs="微软雅黑" w:eastAsia="微软雅黑"/>
          <w:sz w:val="25"/>
          <w:szCs w:val="25"/>
        </w:rPr>
      </w:pPr>
    </w:p>
    <w:p>
      <w:pPr>
        <w:pStyle w:val="BodyText"/>
        <w:spacing w:line="424" w:lineRule="auto"/>
        <w:ind w:right="0"/>
        <w:jc w:val="left"/>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0"/>
        <w:jc w:val="left"/>
      </w:pPr>
      <w:r>
        <w:rPr/>
        <w:t>②列表说明最近一次课程体系合理性评价及课程目标达成评价情况并评价结果进行 分析。</w:t>
      </w:r>
    </w:p>
    <w:p>
      <w:pPr>
        <w:pStyle w:val="BodyText"/>
        <w:spacing w:line="240" w:lineRule="auto" w:before="65"/>
        <w:ind w:right="0"/>
        <w:jc w:val="left"/>
      </w:pPr>
      <w:r>
        <w:rPr/>
        <w:t>③描述说明专业最近一次课程体系及课程目标根据评价结果进行修订情况。</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④描述说明用人单位、师范毕业生等利益相关方参与评价与修订的过程、方式和发 挥的作用。</w:t>
      </w:r>
    </w:p>
    <w:p>
      <w:pPr>
        <w:pStyle w:val="Heading5"/>
        <w:spacing w:line="240" w:lineRule="auto" w:before="180"/>
        <w:ind w:right="5699"/>
        <w:jc w:val="left"/>
        <w:rPr>
          <w:b w:val="0"/>
          <w:bCs w:val="0"/>
        </w:rPr>
      </w:pPr>
      <w:bookmarkStart w:name="第二部分：主要问题" w:id="61"/>
      <w:bookmarkEnd w:id="61"/>
      <w:r>
        <w:rPr>
          <w:b w:val="0"/>
          <w:bCs w:val="0"/>
        </w:rPr>
      </w:r>
      <w:bookmarkStart w:name="_bookmark11" w:id="62"/>
      <w:bookmarkEnd w:id="62"/>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5699"/>
        <w:jc w:val="left"/>
        <w:rPr>
          <w:b w:val="0"/>
          <w:bCs w:val="0"/>
        </w:rPr>
      </w:pPr>
      <w:bookmarkStart w:name="第三部分：改进措施" w:id="63"/>
      <w:bookmarkEnd w:id="63"/>
      <w:r>
        <w:rPr>
          <w:b w:val="0"/>
          <w:bCs w:val="0"/>
        </w:rPr>
      </w:r>
      <w:bookmarkStart w:name="_bookmark12" w:id="64"/>
      <w:bookmarkEnd w:id="64"/>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after="0" w:line="312" w:lineRule="exact"/>
        <w:jc w:val="left"/>
        <w:rPr>
          <w:rFonts w:ascii="楷体" w:hAnsi="楷体" w:cs="楷体" w:eastAsia="楷体"/>
        </w:rPr>
        <w:sectPr>
          <w:headerReference w:type="default" r:id="rId30"/>
          <w:pgSz w:w="12240" w:h="15840"/>
          <w:pgMar w:header="773" w:footer="700" w:top="960" w:bottom="880" w:left="1680" w:right="168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0"/>
        <w:jc w:val="both"/>
        <w:rPr>
          <w:b w:val="0"/>
          <w:bCs w:val="0"/>
        </w:rPr>
      </w:pPr>
      <w:bookmarkStart w:name="标准4合作与实践" w:id="65"/>
      <w:bookmarkEnd w:id="65"/>
      <w:r>
        <w:rPr>
          <w:b w:val="0"/>
          <w:bCs w:val="0"/>
        </w:rPr>
      </w:r>
      <w:bookmarkStart w:name="_bookmark13" w:id="66"/>
      <w:bookmarkEnd w:id="66"/>
      <w:r>
        <w:rPr>
          <w:b w:val="0"/>
          <w:bCs w:val="0"/>
        </w:rPr>
      </w:r>
      <w:r>
        <w:rPr/>
        <w:t>标准 4</w:t>
      </w:r>
      <w:r>
        <w:rPr>
          <w:spacing w:val="-32"/>
        </w:rPr>
        <w:t> </w:t>
      </w:r>
      <w:r>
        <w:rPr/>
        <w:t>合作与实践</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67"/>
      <w:bookmarkEnd w:id="67"/>
      <w:r>
        <w:rPr>
          <w:b w:val="0"/>
          <w:bCs w:val="0"/>
        </w:rPr>
      </w:r>
      <w:bookmarkStart w:name="_bookmark14" w:id="68"/>
      <w:bookmarkEnd w:id="68"/>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tabs>
          <w:tab w:pos="705" w:val="left" w:leader="none"/>
        </w:tabs>
        <w:spacing w:line="237" w:lineRule="auto" w:before="130"/>
        <w:ind w:right="119"/>
        <w:jc w:val="left"/>
        <w:rPr>
          <w:rFonts w:ascii="微软雅黑" w:hAnsi="微软雅黑" w:cs="微软雅黑" w:eastAsia="微软雅黑"/>
        </w:rPr>
      </w:pPr>
      <w:r>
        <w:rPr>
          <w:rFonts w:ascii="微软雅黑" w:hAnsi="微软雅黑" w:cs="微软雅黑" w:eastAsia="微软雅黑"/>
          <w:w w:val="95"/>
        </w:rPr>
        <w:t>4.1</w:t>
        <w:tab/>
      </w:r>
      <w:r>
        <w:rPr>
          <w:rFonts w:ascii="微软雅黑" w:hAnsi="微软雅黑" w:cs="微软雅黑" w:eastAsia="微软雅黑"/>
        </w:rPr>
        <w:t>[协同育人] </w:t>
      </w:r>
      <w:r>
        <w:rPr>
          <w:rFonts w:ascii="微软雅黑" w:hAnsi="微软雅黑" w:cs="微软雅黑" w:eastAsia="微软雅黑"/>
          <w:spacing w:val="2"/>
        </w:rPr>
        <w:t> 与地方教育行政部门和中学建立权责明晰、稳定协调、合作共赢</w:t>
      </w:r>
      <w:r>
        <w:rPr>
          <w:rFonts w:ascii="微软雅黑" w:hAnsi="微软雅黑" w:cs="微软雅黑" w:eastAsia="微软雅黑"/>
        </w:rPr>
        <w:t> </w:t>
      </w:r>
      <w:r>
        <w:rPr>
          <w:rFonts w:ascii="微软雅黑" w:hAnsi="微软雅黑" w:cs="微软雅黑" w:eastAsia="微软雅黑"/>
          <w:spacing w:val="-4"/>
        </w:rPr>
        <w:t>的“三位一体”协同培养机制，协同制定培养目标、设计课程体系、建设课程资源、</w:t>
      </w:r>
      <w:r>
        <w:rPr>
          <w:rFonts w:ascii="微软雅黑" w:hAnsi="微软雅黑" w:cs="微软雅黑" w:eastAsia="微软雅黑"/>
          <w:spacing w:val="-43"/>
        </w:rPr>
        <w:t> </w:t>
      </w:r>
      <w:r>
        <w:rPr>
          <w:rFonts w:ascii="微软雅黑" w:hAnsi="微软雅黑" w:cs="微软雅黑" w:eastAsia="微软雅黑"/>
          <w:spacing w:val="-43"/>
        </w:rPr>
      </w:r>
      <w:r>
        <w:rPr>
          <w:rFonts w:ascii="微软雅黑" w:hAnsi="微软雅黑" w:cs="微软雅黑" w:eastAsia="微软雅黑"/>
        </w:rPr>
        <w:t>组织教学团队、建设实践基地、开展教学研究、评价培养质量，形成教师培养、培 训、研究和服务一体化的合作共同体。</w:t>
      </w:r>
    </w:p>
    <w:p>
      <w:pPr>
        <w:pStyle w:val="BodyText"/>
        <w:spacing w:line="240" w:lineRule="auto" w:before="143"/>
        <w:ind w:right="0"/>
        <w:jc w:val="both"/>
      </w:pPr>
      <w:r>
        <w:rPr/>
        <w:t>①描述学校与地方教育行政部门和中学建立“三位一体”协同培养机制情况。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②描述学校与中学合作搭建教师专业发展平台，形成中学教师培养、培训、研究和 服务一体化的合作共同体情况。</w:t>
      </w:r>
    </w:p>
    <w:p>
      <w:pPr>
        <w:pStyle w:val="BodyText"/>
        <w:spacing w:line="240" w:lineRule="auto" w:before="65"/>
        <w:ind w:right="0"/>
        <w:jc w:val="both"/>
      </w:pPr>
      <w:r>
        <w:rPr/>
        <w:t>③描述“三位一体”协同育人工作成效。</w:t>
      </w:r>
    </w:p>
    <w:p>
      <w:pPr>
        <w:pStyle w:val="BodyText"/>
        <w:spacing w:line="414" w:lineRule="exact" w:before="126"/>
        <w:ind w:right="0"/>
        <w:jc w:val="both"/>
        <w:rPr>
          <w:rFonts w:ascii="微软雅黑" w:hAnsi="微软雅黑" w:cs="微软雅黑" w:eastAsia="微软雅黑"/>
        </w:rPr>
      </w:pPr>
      <w:r>
        <w:rPr>
          <w:rFonts w:ascii="微软雅黑" w:hAnsi="微软雅黑" w:cs="微软雅黑" w:eastAsia="微软雅黑"/>
        </w:rPr>
        <w:t>4.2 [基地建设] </w:t>
      </w:r>
      <w:r>
        <w:rPr>
          <w:rFonts w:ascii="微软雅黑" w:hAnsi="微软雅黑" w:cs="微软雅黑" w:eastAsia="微软雅黑"/>
          <w:spacing w:val="2"/>
        </w:rPr>
        <w:t> </w:t>
      </w:r>
      <w:r>
        <w:rPr>
          <w:rFonts w:ascii="微软雅黑" w:hAnsi="微软雅黑" w:cs="微软雅黑" w:eastAsia="微软雅黑"/>
        </w:rPr>
        <w:t>建有长期稳定的教育实践基地。实践基地具有良好的校风，较强的</w:t>
      </w:r>
    </w:p>
    <w:p>
      <w:pPr>
        <w:pStyle w:val="BodyText"/>
        <w:spacing w:line="413" w:lineRule="exact"/>
        <w:ind w:right="0"/>
        <w:jc w:val="both"/>
        <w:rPr>
          <w:rFonts w:ascii="微软雅黑" w:hAnsi="微软雅黑" w:cs="微软雅黑" w:eastAsia="微软雅黑"/>
        </w:rPr>
      </w:pPr>
      <w:r>
        <w:rPr>
          <w:rFonts w:ascii="微软雅黑" w:hAnsi="微软雅黑" w:cs="微软雅黑" w:eastAsia="微软雅黑"/>
        </w:rPr>
        <w:t>师资力量、学科优势、管理优势、课程资源优势和教改实践优势。每 20</w:t>
      </w:r>
      <w:r>
        <w:rPr>
          <w:rFonts w:ascii="微软雅黑" w:hAnsi="微软雅黑" w:cs="微软雅黑" w:eastAsia="微软雅黑"/>
          <w:spacing w:val="41"/>
        </w:rPr>
        <w:t> </w:t>
      </w:r>
      <w:r>
        <w:rPr>
          <w:rFonts w:ascii="微软雅黑" w:hAnsi="微软雅黑" w:cs="微软雅黑" w:eastAsia="微软雅黑"/>
        </w:rPr>
        <w:t>个实习生</w:t>
      </w:r>
    </w:p>
    <w:p>
      <w:pPr>
        <w:pStyle w:val="BodyText"/>
        <w:spacing w:line="414" w:lineRule="exact"/>
        <w:ind w:right="0"/>
        <w:jc w:val="both"/>
        <w:rPr>
          <w:rFonts w:ascii="微软雅黑" w:hAnsi="微软雅黑" w:cs="微软雅黑" w:eastAsia="微软雅黑"/>
        </w:rPr>
      </w:pPr>
      <w:r>
        <w:rPr>
          <w:rFonts w:ascii="微软雅黑" w:hAnsi="微软雅黑" w:cs="微软雅黑" w:eastAsia="微软雅黑"/>
        </w:rPr>
        <w:t>不少于 1</w:t>
      </w:r>
      <w:r>
        <w:rPr>
          <w:rFonts w:ascii="微软雅黑" w:hAnsi="微软雅黑" w:cs="微软雅黑" w:eastAsia="微软雅黑"/>
          <w:spacing w:val="-25"/>
        </w:rPr>
        <w:t> </w:t>
      </w:r>
      <w:r>
        <w:rPr>
          <w:rFonts w:ascii="微软雅黑" w:hAnsi="微软雅黑" w:cs="微软雅黑" w:eastAsia="微软雅黑"/>
        </w:rPr>
        <w:t>个教育实践基地，其中，示范性教育实践基地不少于三分之一。</w:t>
      </w:r>
    </w:p>
    <w:p>
      <w:pPr>
        <w:pStyle w:val="BodyText"/>
        <w:spacing w:line="424" w:lineRule="auto" w:before="142"/>
        <w:ind w:right="35"/>
        <w:jc w:val="left"/>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0"/>
        <w:jc w:val="both"/>
      </w:pPr>
      <w:r>
        <w:rPr/>
        <w:t>②描述学校利用实践基地开展专业培养的相关制度和举措及其成效。</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4.3 [实践教学] 实践教学体系完整，专业实践和教育实践有机结合。教育见习、教 育实习、教育研习递进贯通，涵盖师德体验、教学实践、班级管理实践和教研实践 等，并与其他教育环节有机衔接。教育实践时间累计不少于一学期。学校集中组织 教育实习，保证师范生实习期间的上课时数和上课类型。</w:t>
      </w:r>
    </w:p>
    <w:p>
      <w:pPr>
        <w:pStyle w:val="BodyText"/>
        <w:spacing w:line="240" w:lineRule="auto" w:before="145"/>
        <w:ind w:right="0"/>
        <w:jc w:val="both"/>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②描述教育实习工作规范制定及落实情况，包括课程标准、实施计划、实习手册，</w:t>
      </w:r>
    </w:p>
    <w:p>
      <w:pPr>
        <w:spacing w:after="0" w:line="240" w:lineRule="auto"/>
        <w:jc w:val="both"/>
        <w:sectPr>
          <w:footerReference w:type="default" r:id="rId31"/>
          <w:pgSz w:w="12240" w:h="15840"/>
          <w:pgMar w:footer="700" w:header="773" w:top="960" w:bottom="880" w:left="1680" w:right="1560"/>
          <w:pgNumType w:start="1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t>评价标准等。</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4.4 [导师队伍]</w:t>
      </w:r>
      <w:r>
        <w:rPr>
          <w:rFonts w:ascii="微软雅黑" w:hAnsi="微软雅黑" w:cs="微软雅黑" w:eastAsia="微软雅黑"/>
          <w:spacing w:val="46"/>
        </w:rPr>
        <w:t> </w:t>
      </w:r>
      <w:r>
        <w:rPr>
          <w:rFonts w:ascii="微软雅黑" w:hAnsi="微软雅黑" w:cs="微软雅黑" w:eastAsia="微软雅黑"/>
          <w:spacing w:val="-3"/>
        </w:rPr>
        <w:t>实行高校教师与优秀中学教师共同指导教育实践的“双导师”制度。</w:t>
      </w:r>
      <w:r>
        <w:rPr>
          <w:rFonts w:ascii="微软雅黑" w:hAnsi="微软雅黑" w:cs="微软雅黑" w:eastAsia="微软雅黑"/>
        </w:rPr>
        <w:t> </w:t>
      </w:r>
      <w:r>
        <w:rPr>
          <w:rFonts w:ascii="微软雅黑" w:hAnsi="微软雅黑" w:cs="微软雅黑" w:eastAsia="微软雅黑"/>
          <w:spacing w:val="-7"/>
        </w:rPr>
        <w:t>有遴选、培训、评价和支持教育实践指导教师的制度与措施。“双导师”数量足，水</w:t>
      </w:r>
      <w:r>
        <w:rPr>
          <w:rFonts w:ascii="微软雅黑" w:hAnsi="微软雅黑" w:cs="微软雅黑" w:eastAsia="微软雅黑"/>
          <w:spacing w:val="-52"/>
        </w:rPr>
        <w:t> </w:t>
      </w:r>
      <w:r>
        <w:rPr>
          <w:rFonts w:ascii="微软雅黑" w:hAnsi="微软雅黑" w:cs="微软雅黑" w:eastAsia="微软雅黑"/>
          <w:spacing w:val="-52"/>
        </w:rPr>
      </w:r>
      <w:r>
        <w:rPr>
          <w:rFonts w:ascii="微软雅黑" w:hAnsi="微软雅黑" w:cs="微软雅黑" w:eastAsia="微软雅黑"/>
        </w:rPr>
        <w:t>平高，稳定性强，责权明确，协同育人，有效履职。</w:t>
      </w:r>
    </w:p>
    <w:p>
      <w:pPr>
        <w:spacing w:line="240" w:lineRule="auto" w:before="8"/>
        <w:rPr>
          <w:rFonts w:ascii="微软雅黑" w:hAnsi="微软雅黑" w:cs="微软雅黑" w:eastAsia="微软雅黑"/>
          <w:sz w:val="26"/>
          <w:szCs w:val="26"/>
        </w:rPr>
      </w:pPr>
    </w:p>
    <w:p>
      <w:pPr>
        <w:pStyle w:val="BodyText"/>
        <w:spacing w:line="424" w:lineRule="auto"/>
        <w:ind w:right="239"/>
        <w:jc w:val="both"/>
      </w:pPr>
      <w:r>
        <w:rPr/>
        <w:t>①描述说明学校实行高校教师与中学教师共同指导教育实践的“双导师”制度与具 体措施，包括导师遴选、人员配置、实践指导、能力提升、条件保障、考核评价与 动态调整等方面。</w:t>
      </w:r>
    </w:p>
    <w:p>
      <w:pPr>
        <w:pStyle w:val="BodyText"/>
        <w:spacing w:line="240" w:lineRule="auto" w:before="65"/>
        <w:ind w:right="35"/>
        <w:jc w:val="left"/>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④描述说明学校支持教育实践指导教师的专门制度与措施。</w:t>
      </w:r>
    </w:p>
    <w:p>
      <w:pPr>
        <w:spacing w:line="240" w:lineRule="auto" w:before="7"/>
        <w:rPr>
          <w:rFonts w:ascii="华文楷体" w:hAnsi="华文楷体" w:cs="华文楷体" w:eastAsia="华文楷体"/>
          <w:sz w:val="31"/>
          <w:szCs w:val="31"/>
        </w:rPr>
      </w:pPr>
    </w:p>
    <w:p>
      <w:pPr>
        <w:pStyle w:val="BodyText"/>
        <w:spacing w:line="410" w:lineRule="exact"/>
        <w:ind w:right="35"/>
        <w:jc w:val="left"/>
        <w:rPr>
          <w:rFonts w:ascii="微软雅黑" w:hAnsi="微软雅黑" w:cs="微软雅黑" w:eastAsia="微软雅黑"/>
        </w:rPr>
      </w:pPr>
      <w:r>
        <w:rPr>
          <w:rFonts w:ascii="微软雅黑" w:hAnsi="微软雅黑" w:cs="微软雅黑" w:eastAsia="微软雅黑"/>
        </w:rPr>
        <w:t>4.5</w:t>
      </w:r>
      <w:r>
        <w:rPr>
          <w:rFonts w:ascii="微软雅黑" w:hAnsi="微软雅黑" w:cs="微软雅黑" w:eastAsia="微软雅黑"/>
          <w:spacing w:val="4"/>
        </w:rPr>
        <w:t> </w:t>
      </w:r>
      <w:r>
        <w:rPr>
          <w:rFonts w:ascii="微软雅黑" w:hAnsi="微软雅黑" w:cs="微软雅黑" w:eastAsia="微软雅黑"/>
        </w:rPr>
        <w:t>[管理评价]</w:t>
      </w:r>
      <w:r>
        <w:rPr>
          <w:rFonts w:ascii="微软雅黑" w:hAnsi="微软雅黑" w:cs="微软雅黑" w:eastAsia="微软雅黑"/>
          <w:spacing w:val="59"/>
        </w:rPr>
        <w:t> </w:t>
      </w:r>
      <w:r>
        <w:rPr>
          <w:rFonts w:ascii="微软雅黑" w:hAnsi="微软雅黑" w:cs="微软雅黑" w:eastAsia="微软雅黑"/>
        </w:rPr>
        <w:t>教育实践管理规范，能够对全过程实施质量监控。严格实行教育实</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践评价与改进制度。具有教育实践标准，采取过程评价与成果考核评价相结合方式，</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对实践能力和教育教学反思能力进行科学有效评价。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①描述学校实践教学管理制度和措施，说明对教育见习、实验（实训）、教育实习、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③描述说明中学教育类专业师范生教育实践标准，对实践能力和教育教学反思能力 的考核评价方式及效果分析。</w:t>
      </w:r>
    </w:p>
    <w:p>
      <w:pPr>
        <w:spacing w:after="0" w:line="424"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69"/>
      <w:bookmarkEnd w:id="69"/>
      <w:r>
        <w:rPr>
          <w:b w:val="0"/>
          <w:bCs w:val="0"/>
        </w:rPr>
      </w:r>
      <w:bookmarkStart w:name="_bookmark15" w:id="70"/>
      <w:bookmarkEnd w:id="70"/>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71"/>
      <w:bookmarkEnd w:id="71"/>
      <w:r>
        <w:rPr>
          <w:b w:val="0"/>
          <w:bCs w:val="0"/>
        </w:rPr>
      </w:r>
      <w:bookmarkStart w:name="_bookmark16" w:id="72"/>
      <w:bookmarkEnd w:id="72"/>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0"/>
        <w:jc w:val="both"/>
        <w:rPr>
          <w:b w:val="0"/>
          <w:bCs w:val="0"/>
        </w:rPr>
      </w:pPr>
      <w:bookmarkStart w:name="标准5师资队伍" w:id="73"/>
      <w:bookmarkEnd w:id="73"/>
      <w:r>
        <w:rPr>
          <w:b w:val="0"/>
          <w:bCs w:val="0"/>
        </w:rPr>
      </w:r>
      <w:bookmarkStart w:name="_bookmark17" w:id="74"/>
      <w:bookmarkEnd w:id="74"/>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75"/>
      <w:bookmarkEnd w:id="75"/>
      <w:r>
        <w:rPr>
          <w:b w:val="0"/>
          <w:bCs w:val="0"/>
        </w:rPr>
      </w:r>
      <w:bookmarkStart w:name="_bookmark18" w:id="76"/>
      <w:bookmarkEnd w:id="76"/>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13"/>
        <w:jc w:val="both"/>
        <w:rPr>
          <w:rFonts w:ascii="微软雅黑" w:hAnsi="微软雅黑" w:cs="微软雅黑" w:eastAsia="微软雅黑"/>
        </w:rPr>
      </w:pPr>
      <w:r>
        <w:rPr>
          <w:rFonts w:ascii="微软雅黑" w:hAnsi="微软雅黑" w:cs="微软雅黑" w:eastAsia="微软雅黑"/>
        </w:rPr>
        <w:t>5.1 [数量结构] 专任教师数量结构能够适应本专业教学和发展的需要，生师比不高 于 </w:t>
      </w:r>
      <w:r>
        <w:rPr>
          <w:rFonts w:ascii="微软雅黑" w:hAnsi="微软雅黑" w:cs="微软雅黑" w:eastAsia="微软雅黑"/>
          <w:spacing w:val="2"/>
        </w:rPr>
        <w:t>16:1，硕士、博士学位教师占比不低于</w:t>
      </w:r>
      <w:r>
        <w:rPr>
          <w:rFonts w:ascii="微软雅黑" w:hAnsi="微软雅黑" w:cs="微软雅黑" w:eastAsia="微软雅黑"/>
          <w:spacing w:val="-10"/>
        </w:rPr>
        <w:t> </w:t>
      </w:r>
      <w:r>
        <w:rPr>
          <w:rFonts w:ascii="微软雅黑" w:hAnsi="微软雅黑" w:cs="微软雅黑" w:eastAsia="微软雅黑"/>
          <w:spacing w:val="2"/>
        </w:rPr>
        <w:t>80%，高级职称教师比例高于学校平均</w:t>
      </w:r>
      <w:r>
        <w:rPr>
          <w:rFonts w:ascii="微软雅黑" w:hAnsi="微软雅黑" w:cs="微软雅黑" w:eastAsia="微软雅黑"/>
        </w:rPr>
        <w:t> 水平，且为师范生上课、担任师范生导师。配足建强教师教育课程教师，其中学科 课程与教学论教师原则上不少于 3</w:t>
      </w:r>
      <w:r>
        <w:rPr>
          <w:rFonts w:ascii="微软雅黑" w:hAnsi="微软雅黑" w:cs="微软雅黑" w:eastAsia="微软雅黑"/>
          <w:spacing w:val="-44"/>
        </w:rPr>
        <w:t> </w:t>
      </w:r>
      <w:r>
        <w:rPr>
          <w:rFonts w:ascii="微软雅黑" w:hAnsi="微软雅黑" w:cs="微软雅黑" w:eastAsia="微软雅黑"/>
        </w:rPr>
        <w:t>人，具有半年以上境外研修经历教师占教师教育</w:t>
      </w:r>
      <w:r>
        <w:rPr>
          <w:rFonts w:ascii="微软雅黑" w:hAnsi="微软雅黑" w:cs="微软雅黑" w:eastAsia="微软雅黑"/>
        </w:rPr>
        <w:t> 课程教师比例不低于</w:t>
      </w:r>
      <w:r>
        <w:rPr>
          <w:rFonts w:ascii="微软雅黑" w:hAnsi="微软雅黑" w:cs="微软雅黑" w:eastAsia="微软雅黑"/>
          <w:spacing w:val="-6"/>
        </w:rPr>
        <w:t> </w:t>
      </w:r>
      <w:r>
        <w:rPr>
          <w:rFonts w:ascii="微软雅黑" w:hAnsi="微软雅黑" w:cs="微软雅黑" w:eastAsia="微软雅黑"/>
          <w:spacing w:val="-3"/>
        </w:rPr>
        <w:t>20%。基础教育一线的兼职教师队伍稳定，占教师教育课程教</w:t>
      </w:r>
      <w:r>
        <w:rPr>
          <w:rFonts w:ascii="微软雅黑" w:hAnsi="微软雅黑" w:cs="微软雅黑" w:eastAsia="微软雅黑"/>
        </w:rPr>
        <w:t> 师比例不低于 </w:t>
      </w:r>
      <w:r>
        <w:rPr>
          <w:rFonts w:ascii="微软雅黑" w:hAnsi="微软雅黑" w:cs="微软雅黑" w:eastAsia="微软雅黑"/>
          <w:spacing w:val="-3"/>
        </w:rPr>
        <w:t>20%，原则上为省市级学科带头人、特级教师、高级教师，能深度参</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与师范生培养工作。</w:t>
      </w:r>
    </w:p>
    <w:p>
      <w:pPr>
        <w:pStyle w:val="BodyText"/>
        <w:spacing w:line="424" w:lineRule="auto" w:before="145"/>
        <w:ind w:right="11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spacing w:after="0" w:line="424"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239"/>
        <w:jc w:val="both"/>
      </w:pPr>
      <w:r>
        <w:rPr/>
        <w:t>②描述说明专业专任教师教学能力、学术水平满足师范生培养和专业教学需要的情 况。</w:t>
      </w:r>
    </w:p>
    <w:p>
      <w:pPr>
        <w:pStyle w:val="BodyText"/>
        <w:spacing w:line="424" w:lineRule="auto" w:before="65"/>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424" w:lineRule="auto" w:before="65"/>
        <w:ind w:right="239"/>
        <w:jc w:val="both"/>
      </w:pPr>
      <w:r>
        <w:rPr/>
        <w:t>④描述说明近三年专业专任教师队伍建设和发展满足学生发展需要的情况，配足建 强教师教育课程教师情况，具体说明学科课程与教学论教师人数和具有半年以上境 外研修经历教师占教师教育课程教师比例情况。</w:t>
      </w:r>
    </w:p>
    <w:p>
      <w:pPr>
        <w:pStyle w:val="BodyText"/>
        <w:spacing w:line="240" w:lineRule="auto" w:before="65"/>
        <w:ind w:right="0"/>
        <w:jc w:val="both"/>
      </w:pPr>
      <w:r>
        <w:rPr/>
        <w:t>⑤描述说明近三年专业兼职教师队伍建设和发展满足学生发展需要的情况。</w:t>
      </w:r>
    </w:p>
    <w:p>
      <w:pPr>
        <w:pStyle w:val="BodyText"/>
        <w:spacing w:line="237" w:lineRule="auto" w:before="129"/>
        <w:ind w:right="239"/>
        <w:jc w:val="both"/>
        <w:rPr>
          <w:rFonts w:ascii="微软雅黑" w:hAnsi="微软雅黑" w:cs="微软雅黑" w:eastAsia="微软雅黑"/>
        </w:rPr>
      </w:pPr>
      <w:r>
        <w:rPr>
          <w:rFonts w:ascii="微软雅黑" w:hAnsi="微软雅黑" w:cs="微软雅黑" w:eastAsia="微软雅黑"/>
        </w:rPr>
        <w:t>5.2[素质能力] </w:t>
      </w:r>
      <w:r>
        <w:rPr>
          <w:rFonts w:ascii="微软雅黑" w:hAnsi="微软雅黑" w:cs="微软雅黑" w:eastAsia="微软雅黑"/>
          <w:spacing w:val="2"/>
        </w:rPr>
        <w:t>遵守高校教师职业道德规范，为人师表，言传身教；以生为本、以</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学定教，具有突出的课堂教学、课程开发、信息技术应用和学习指导等教育教学能 力；治学严谨，跟踪学科前沿，研究能力和创新能力较强。具有职前养成和职后发 展一体化指导能力，能够有效指导师范生发展与职业规划。师范生对本专业专任教 师、兼职教师师德和教学具有较高的满意度。</w:t>
      </w:r>
    </w:p>
    <w:p>
      <w:pPr>
        <w:pStyle w:val="BodyText"/>
        <w:spacing w:line="424" w:lineRule="auto" w:before="143"/>
        <w:ind w:right="239"/>
        <w:jc w:val="both"/>
      </w:pPr>
      <w:r>
        <w:rPr/>
        <w:t>①描述说明学校加强专业专任教师队伍师德师风和素质能力建设的制度和措施，及 这些制度和措施发挥的作用。</w:t>
      </w:r>
    </w:p>
    <w:p>
      <w:pPr>
        <w:pStyle w:val="BodyText"/>
        <w:spacing w:line="424" w:lineRule="auto" w:before="65"/>
        <w:ind w:right="239"/>
        <w:jc w:val="both"/>
      </w:pPr>
      <w:r>
        <w:rPr/>
        <w:t>②描述说明常态化学生评教制度与标准，包括专任教师、兼职教师评价，说明学生 满意度。</w:t>
      </w:r>
    </w:p>
    <w:p>
      <w:pPr>
        <w:pStyle w:val="BodyText"/>
        <w:spacing w:line="424" w:lineRule="auto" w:before="65"/>
        <w:ind w:right="239"/>
        <w:jc w:val="both"/>
      </w:pPr>
      <w:r>
        <w:rPr/>
        <w:t>③描述说明专业专任教师的基础教育教学改革研究成果以及应用科研成果有效促进 教育教学改革情况。</w:t>
      </w:r>
    </w:p>
    <w:p>
      <w:pPr>
        <w:pStyle w:val="BodyText"/>
        <w:spacing w:line="240" w:lineRule="auto" w:before="65"/>
        <w:ind w:right="0"/>
        <w:jc w:val="both"/>
      </w:pPr>
      <w:r>
        <w:rPr/>
        <w:t>④描述专业专任教师为学生提供职前养成和职后发展一体化指导的情况。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5.3 [实践经历]</w:t>
      </w:r>
      <w:r>
        <w:rPr>
          <w:rFonts w:ascii="微软雅黑" w:hAnsi="微软雅黑" w:cs="微软雅黑" w:eastAsia="微软雅黑"/>
          <w:spacing w:val="32"/>
        </w:rPr>
        <w:t> </w:t>
      </w:r>
      <w:r>
        <w:rPr>
          <w:rFonts w:ascii="微软雅黑" w:hAnsi="微软雅黑" w:cs="微软雅黑" w:eastAsia="微软雅黑"/>
          <w:spacing w:val="2"/>
        </w:rPr>
        <w:t>教师教育课程教师熟悉中学教师专业标准、教师教育课程标准和</w:t>
      </w:r>
      <w:r>
        <w:rPr>
          <w:rFonts w:ascii="微软雅黑" w:hAnsi="微软雅黑" w:cs="微软雅黑" w:eastAsia="微软雅黑"/>
        </w:rPr>
        <w:t> 中学教育教学工作，每五年至少有一年中学教育服务经历，能够指导中学教育教学 工作，并有丰富的基础教育研究成果。</w:t>
      </w:r>
    </w:p>
    <w:p>
      <w:pPr>
        <w:spacing w:after="0" w:line="237"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424" w:lineRule="auto"/>
        <w:ind w:right="35"/>
        <w:jc w:val="left"/>
      </w:pPr>
      <w:r>
        <w:rPr/>
        <w:t>①描述说明学校和院系两级在鼓励教师教育课程教师深入中学一线实践方面采取的 制度和措施。</w:t>
      </w:r>
    </w:p>
    <w:p>
      <w:pPr>
        <w:pStyle w:val="BodyText"/>
        <w:spacing w:line="424" w:lineRule="auto" w:before="65"/>
        <w:ind w:right="35"/>
        <w:jc w:val="left"/>
      </w:pPr>
      <w:r>
        <w:rPr/>
        <w:t>②描述分析这些制度和措施在激励和保障专业教师通过实践形成丰富的教学研究成 果中发挥的作用。</w:t>
      </w:r>
    </w:p>
    <w:p>
      <w:pPr>
        <w:pStyle w:val="BodyText"/>
        <w:spacing w:line="240" w:lineRule="auto" w:before="65"/>
        <w:ind w:right="0"/>
        <w:jc w:val="both"/>
      </w:pPr>
      <w:r>
        <w:rPr/>
        <w:t>③以列表的方式呈现专业教师近五年基于实践的教学研究成果。</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5.4 [持续发展]</w:t>
      </w:r>
      <w:r>
        <w:rPr>
          <w:rFonts w:ascii="微软雅黑" w:hAnsi="微软雅黑" w:cs="微软雅黑" w:eastAsia="微软雅黑"/>
          <w:spacing w:val="32"/>
        </w:rPr>
        <w:t> </w:t>
      </w:r>
      <w:r>
        <w:rPr>
          <w:rFonts w:ascii="微软雅黑" w:hAnsi="微软雅黑" w:cs="微软雅黑" w:eastAsia="微软雅黑"/>
          <w:spacing w:val="2"/>
        </w:rPr>
        <w:t>制定并实施教师队伍建设规划。教师培训和实践研修机制完善；</w:t>
      </w:r>
      <w:r>
        <w:rPr>
          <w:rFonts w:ascii="微软雅黑" w:hAnsi="微软雅黑" w:cs="微软雅黑" w:eastAsia="微软雅黑"/>
        </w:rPr>
        <w:t> 建立专业教研组织，定期开展教研活动。建立教师分类评价制度，合理制定学科课 程与教学论等教师教育实践类课程教师评价标准，评价结果与绩效分配、职称评聘 </w:t>
      </w:r>
      <w:r>
        <w:rPr>
          <w:rFonts w:ascii="微软雅黑" w:hAnsi="微软雅黑" w:cs="微软雅黑" w:eastAsia="微软雅黑"/>
          <w:spacing w:val="-7"/>
        </w:rPr>
        <w:t>挂钩。高校和中学“协同教研”“双向互聘”“岗位互换”等共同发展机制健全、成</w:t>
      </w:r>
      <w:r>
        <w:rPr>
          <w:rFonts w:ascii="微软雅黑" w:hAnsi="微软雅黑" w:cs="微软雅黑" w:eastAsia="微软雅黑"/>
          <w:spacing w:val="-53"/>
        </w:rPr>
        <w:t> </w:t>
      </w:r>
      <w:r>
        <w:rPr>
          <w:rFonts w:ascii="微软雅黑" w:hAnsi="微软雅黑" w:cs="微软雅黑" w:eastAsia="微软雅黑"/>
          <w:spacing w:val="-53"/>
        </w:rPr>
      </w:r>
      <w:r>
        <w:rPr>
          <w:rFonts w:ascii="微软雅黑" w:hAnsi="微软雅黑" w:cs="微软雅黑" w:eastAsia="微软雅黑"/>
        </w:rPr>
        <w:t>效显著。</w:t>
      </w:r>
    </w:p>
    <w:p>
      <w:pPr>
        <w:pStyle w:val="BodyText"/>
        <w:spacing w:line="240" w:lineRule="auto" w:before="143"/>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③列表说明近三年专业教师特别是青年教师进行国内外进修访学、中学一线实践锻 </w:t>
      </w:r>
      <w:r>
        <w:rPr>
          <w:spacing w:val="-7"/>
        </w:rPr>
        <w:t>炼、教学技能与方法培训情况，并对培养培训提升教师教学水平效果进行分析（《专</w:t>
      </w:r>
      <w:r>
        <w:rPr>
          <w:spacing w:val="-42"/>
        </w:rPr>
        <w:t> </w:t>
      </w:r>
      <w:r>
        <w:rPr>
          <w:spacing w:val="-42"/>
        </w:rPr>
      </w:r>
      <w:r>
        <w:rPr>
          <w:spacing w:val="-6"/>
        </w:rPr>
        <w:t>业教学状态数据分析报告》有相关数据信息）。</w:t>
      </w:r>
    </w:p>
    <w:p>
      <w:pPr>
        <w:pStyle w:val="BodyText"/>
        <w:spacing w:line="424" w:lineRule="auto" w:before="65"/>
        <w:ind w:right="35"/>
        <w:jc w:val="left"/>
      </w:pPr>
      <w:r>
        <w:rPr/>
        <w:t>④描述说明专业教研组织建设情况（包括组织形式与规模，承担的具体责任，隶属 </w:t>
      </w:r>
      <w:r>
        <w:rPr>
          <w:spacing w:val="-10"/>
        </w:rPr>
        <w:t>关系，以及责任人），及组织开展的专业建设、课程建设、教材建设、教学技能提高、</w:t>
      </w:r>
      <w:r>
        <w:rPr>
          <w:spacing w:val="-40"/>
        </w:rPr>
        <w:t> </w:t>
      </w:r>
      <w:r>
        <w:rPr>
          <w:spacing w:val="-40"/>
        </w:rPr>
      </w: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spacing w:val="-4"/>
        </w:rPr>
        <w:t>⑤以列表方式呈现近三年开展教师自我评价（主要指通过课程评价进行教学改进）、</w:t>
      </w:r>
      <w:r>
        <w:rPr>
          <w:spacing w:val="-32"/>
        </w:rPr>
        <w:t> </w:t>
      </w:r>
      <w:r>
        <w:rPr>
          <w:spacing w:val="-32"/>
        </w:rPr>
      </w:r>
      <w:r>
        <w:rPr/>
        <w:t>学生评价、同行评价、督导评价活动情况及结果。</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t>⑥描述说明综合评价结果与校内绩效分配、职称晋升的挂钩情况，及对教师教学质</w:t>
      </w:r>
    </w:p>
    <w:p>
      <w:pPr>
        <w:spacing w:after="0" w:line="240" w:lineRule="auto"/>
        <w:jc w:val="both"/>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量提升的作用。</w:t>
      </w:r>
    </w:p>
    <w:p>
      <w:pPr>
        <w:spacing w:line="240" w:lineRule="auto" w:before="3"/>
        <w:rPr>
          <w:rFonts w:ascii="华文楷体" w:hAnsi="华文楷体" w:cs="华文楷体" w:eastAsia="华文楷体"/>
          <w:sz w:val="29"/>
          <w:szCs w:val="29"/>
        </w:rPr>
      </w:pPr>
    </w:p>
    <w:p>
      <w:pPr>
        <w:pStyle w:val="BodyText"/>
        <w:spacing w:line="424" w:lineRule="auto"/>
        <w:ind w:right="359"/>
        <w:jc w:val="both"/>
      </w:pPr>
      <w:r>
        <w:rPr/>
        <w:t>⑦描述说明学校探索建设高校和中学“协同教研”“双向互聘”“岗位互换”等共 同发展机制的情况，学校教师分类评价制度建设及运行情况，学科课程与教学论等 教师教育实践类课程教师的评价标准。</w:t>
      </w:r>
    </w:p>
    <w:p>
      <w:pPr>
        <w:spacing w:line="240" w:lineRule="auto" w:before="0"/>
        <w:rPr>
          <w:rFonts w:ascii="华文楷体" w:hAnsi="华文楷体" w:cs="华文楷体" w:eastAsia="华文楷体"/>
          <w:sz w:val="24"/>
          <w:szCs w:val="24"/>
        </w:rPr>
      </w:pPr>
    </w:p>
    <w:p>
      <w:pPr>
        <w:spacing w:line="240" w:lineRule="auto" w:before="0"/>
        <w:rPr>
          <w:rFonts w:ascii="华文楷体" w:hAnsi="华文楷体" w:cs="华文楷体" w:eastAsia="华文楷体"/>
          <w:sz w:val="24"/>
          <w:szCs w:val="24"/>
        </w:rPr>
      </w:pPr>
    </w:p>
    <w:p>
      <w:pPr>
        <w:spacing w:line="240" w:lineRule="auto" w:before="8"/>
        <w:rPr>
          <w:rFonts w:ascii="华文楷体" w:hAnsi="华文楷体" w:cs="华文楷体" w:eastAsia="华文楷体"/>
          <w:sz w:val="17"/>
          <w:szCs w:val="17"/>
        </w:rPr>
      </w:pPr>
    </w:p>
    <w:p>
      <w:pPr>
        <w:pStyle w:val="Heading5"/>
        <w:spacing w:line="240" w:lineRule="auto"/>
        <w:ind w:right="0"/>
        <w:jc w:val="both"/>
        <w:rPr>
          <w:b w:val="0"/>
          <w:bCs w:val="0"/>
        </w:rPr>
      </w:pPr>
      <w:bookmarkStart w:name="第二部分：主要问题" w:id="77"/>
      <w:bookmarkEnd w:id="77"/>
      <w:r>
        <w:rPr>
          <w:b w:val="0"/>
          <w:bCs w:val="0"/>
        </w:rPr>
      </w:r>
      <w:bookmarkStart w:name="_bookmark19" w:id="78"/>
      <w:bookmarkEnd w:id="78"/>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79"/>
      <w:bookmarkEnd w:id="79"/>
      <w:r>
        <w:rPr>
          <w:b w:val="0"/>
          <w:bCs w:val="0"/>
        </w:rPr>
      </w:r>
      <w:bookmarkStart w:name="_bookmark20" w:id="80"/>
      <w:bookmarkEnd w:id="80"/>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6支持条件" w:id="81"/>
      <w:bookmarkEnd w:id="81"/>
      <w:r>
        <w:rPr>
          <w:b w:val="0"/>
          <w:bCs w:val="0"/>
        </w:rPr>
      </w:r>
      <w:bookmarkStart w:name="_bookmark21" w:id="82"/>
      <w:bookmarkEnd w:id="82"/>
      <w:r>
        <w:rPr>
          <w:b w:val="0"/>
          <w:bCs w:val="0"/>
        </w:rPr>
      </w:r>
      <w:r>
        <w:rPr/>
        <w:t>标准 6</w:t>
      </w:r>
      <w:r>
        <w:rPr>
          <w:spacing w:val="-32"/>
        </w:rPr>
        <w:t> </w:t>
      </w:r>
      <w:r>
        <w:rPr/>
        <w:t>支持条件</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83"/>
      <w:bookmarkEnd w:id="83"/>
      <w:r>
        <w:rPr>
          <w:b w:val="0"/>
          <w:bCs w:val="0"/>
        </w:rPr>
      </w:r>
      <w:bookmarkStart w:name="_bookmark22" w:id="84"/>
      <w:bookmarkEnd w:id="84"/>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8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0"/>
        <w:jc w:val="left"/>
        <w:rPr>
          <w:rFonts w:ascii="微软雅黑" w:hAnsi="微软雅黑" w:cs="微软雅黑" w:eastAsia="微软雅黑"/>
        </w:rPr>
      </w:pPr>
      <w:r>
        <w:rPr>
          <w:rFonts w:ascii="微软雅黑" w:hAnsi="微软雅黑" w:cs="微软雅黑" w:eastAsia="微软雅黑"/>
        </w:rPr>
        <w:t>6.1</w:t>
      </w:r>
      <w:r>
        <w:rPr>
          <w:rFonts w:ascii="微软雅黑" w:hAnsi="微软雅黑" w:cs="微软雅黑" w:eastAsia="微软雅黑"/>
          <w:spacing w:val="2"/>
        </w:rPr>
        <w:t> </w:t>
      </w:r>
      <w:r>
        <w:rPr>
          <w:rFonts w:ascii="微软雅黑" w:hAnsi="微软雅黑" w:cs="微软雅黑" w:eastAsia="微软雅黑"/>
        </w:rPr>
        <w:t>[经费保障]</w:t>
      </w:r>
      <w:r>
        <w:rPr>
          <w:rFonts w:ascii="微软雅黑" w:hAnsi="微软雅黑" w:cs="微软雅黑" w:eastAsia="微软雅黑"/>
          <w:spacing w:val="56"/>
        </w:rPr>
        <w:t> </w:t>
      </w:r>
      <w:r>
        <w:rPr>
          <w:rFonts w:ascii="微软雅黑" w:hAnsi="微软雅黑" w:cs="微软雅黑" w:eastAsia="微软雅黑"/>
        </w:rPr>
        <w:t>专业建设经费满足师范生培养需求，教学日常运行支出占生均拨款</w:t>
      </w:r>
      <w:r>
        <w:rPr>
          <w:rFonts w:ascii="微软雅黑" w:hAnsi="微软雅黑" w:cs="微软雅黑" w:eastAsia="微软雅黑"/>
          <w:spacing w:val="-58"/>
        </w:rPr>
        <w:t> </w:t>
      </w:r>
      <w:r>
        <w:rPr>
          <w:rFonts w:ascii="微软雅黑" w:hAnsi="微软雅黑" w:cs="微软雅黑" w:eastAsia="微软雅黑"/>
          <w:spacing w:val="-58"/>
        </w:rPr>
      </w:r>
      <w:r>
        <w:rPr>
          <w:rFonts w:ascii="微软雅黑" w:hAnsi="微软雅黑" w:cs="微软雅黑" w:eastAsia="微软雅黑"/>
        </w:rPr>
        <w:t>总额与学费收入之和的比例不低于 </w:t>
      </w:r>
      <w:r>
        <w:rPr>
          <w:rFonts w:ascii="微软雅黑" w:hAnsi="微软雅黑" w:cs="微软雅黑" w:eastAsia="微软雅黑"/>
          <w:spacing w:val="-4"/>
        </w:rPr>
        <w:t>15%，生均教学日常运行支出高于学校平均水平，</w:t>
      </w:r>
      <w:r>
        <w:rPr>
          <w:rFonts w:ascii="微软雅黑" w:hAnsi="微软雅黑" w:cs="微软雅黑" w:eastAsia="微软雅黑"/>
        </w:rPr>
        <w:t> 生均教育实践经费支出高于学校平均水平。教学设施设备和图书资料等更新经费有 标准和预决算。</w:t>
      </w:r>
    </w:p>
    <w:p>
      <w:pPr>
        <w:spacing w:after="0" w:line="237" w:lineRule="auto"/>
        <w:jc w:val="left"/>
        <w:rPr>
          <w:rFonts w:ascii="微软雅黑" w:hAnsi="微软雅黑" w:cs="微软雅黑" w:eastAsia="微软雅黑"/>
        </w:rPr>
        <w:sectPr>
          <w:pgSz w:w="12240" w:h="15840"/>
          <w:pgMar w:header="773" w:footer="700" w:top="960" w:bottom="880" w:left="1680" w:right="144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344" w:lineRule="exact"/>
        <w:ind w:right="0"/>
        <w:jc w:val="left"/>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②描述说明学校在学生实验、实习和毕业论文（设计）上的生均经费投入情况及满 足专业教学需要情况。</w:t>
      </w:r>
    </w:p>
    <w:p>
      <w:pPr>
        <w:pStyle w:val="BodyText"/>
        <w:spacing w:line="240" w:lineRule="auto" w:before="65"/>
        <w:ind w:right="0"/>
        <w:jc w:val="left"/>
      </w:pPr>
      <w:r>
        <w:rPr/>
        <w:t>③列表说明近三年学校和院系用于专业教学的经费收支情况。</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4"/>
        <w:rPr>
          <w:rFonts w:ascii="华文楷体" w:hAnsi="华文楷体" w:cs="华文楷体" w:eastAsia="华文楷体"/>
          <w:sz w:val="21"/>
          <w:szCs w:val="21"/>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教育教学设施完备。建有中学教育专业教师职业技能实训平台和在</w:t>
      </w:r>
    </w:p>
    <w:p>
      <w:pPr>
        <w:pStyle w:val="BodyText"/>
        <w:spacing w:line="237" w:lineRule="auto" w:before="1"/>
        <w:ind w:right="359"/>
        <w:jc w:val="both"/>
        <w:rPr>
          <w:rFonts w:ascii="微软雅黑" w:hAnsi="微软雅黑" w:cs="微软雅黑" w:eastAsia="微软雅黑"/>
        </w:rPr>
      </w:pPr>
      <w:r>
        <w:rPr>
          <w:rFonts w:ascii="微软雅黑" w:hAnsi="微软雅黑" w:cs="微软雅黑" w:eastAsia="微软雅黑"/>
          <w:spacing w:val="-7"/>
        </w:rPr>
        <w:t>线教学观摩指导平台，满足“三字一话”、微格教学、实验教学、远程见习等实践教</w:t>
      </w:r>
      <w:r>
        <w:rPr>
          <w:rFonts w:ascii="微软雅黑" w:hAnsi="微软雅黑" w:cs="微软雅黑" w:eastAsia="微软雅黑"/>
          <w:spacing w:val="-52"/>
        </w:rPr>
        <w:t> </w:t>
      </w:r>
      <w:r>
        <w:rPr>
          <w:rFonts w:ascii="微软雅黑" w:hAnsi="微软雅黑" w:cs="微软雅黑" w:eastAsia="微软雅黑"/>
          <w:spacing w:val="-52"/>
        </w:rPr>
      </w:r>
      <w:r>
        <w:rPr>
          <w:rFonts w:ascii="微软雅黑" w:hAnsi="微软雅黑" w:cs="微软雅黑" w:eastAsia="微软雅黑"/>
        </w:rPr>
        <w:t>学需要。信息化教育设施能够支撑专业教学改革与师范生学习方式转变。教育教学 设施管理、维护、更新和共享机制顺畅，师范生使用便捷、充分。</w:t>
      </w:r>
    </w:p>
    <w:p>
      <w:pPr>
        <w:pStyle w:val="BodyText"/>
        <w:spacing w:line="424" w:lineRule="auto" w:before="145"/>
        <w:ind w:right="359"/>
        <w:jc w:val="both"/>
      </w:pPr>
      <w:r>
        <w:rPr/>
        <w:t>①列表说明学校和院系用于中学教育类专业教学的主要教学实验室、中学教育专业 </w:t>
      </w:r>
      <w:r>
        <w:rPr>
          <w:spacing w:val="-7"/>
        </w:rPr>
        <w:t>教师职业技能实训平台和在线教学观摩指导平台，满足“三字一话”、微格教学、实</w:t>
      </w:r>
      <w:r>
        <w:rPr>
          <w:spacing w:val="-43"/>
        </w:rPr>
        <w:t> </w:t>
      </w:r>
      <w:r>
        <w:rPr>
          <w:spacing w:val="-43"/>
        </w:rPr>
      </w:r>
      <w:r>
        <w:rPr>
          <w:spacing w:val="-7"/>
        </w:rPr>
        <w:t>验教学、远程见习等实践教学需要情况。（《专业教学状态数据分析报告》有相关数</w:t>
      </w:r>
      <w:r>
        <w:rPr>
          <w:spacing w:val="-41"/>
        </w:rPr>
        <w:t> </w:t>
      </w:r>
      <w:r>
        <w:rPr>
          <w:spacing w:val="-41"/>
        </w:rPr>
      </w:r>
      <w:r>
        <w:rPr/>
        <w:t>据信息）</w:t>
      </w:r>
    </w:p>
    <w:p>
      <w:pPr>
        <w:pStyle w:val="BodyText"/>
        <w:spacing w:line="424" w:lineRule="auto" w:before="65"/>
        <w:ind w:right="359"/>
        <w:jc w:val="both"/>
      </w:pPr>
      <w:r>
        <w:rPr/>
        <w:t>②描述说明现代信息技术与专业教学工作进行融合用以支撑教学改革与师范生学习 方式转变情况。</w:t>
      </w:r>
    </w:p>
    <w:p>
      <w:pPr>
        <w:spacing w:after="0" w:line="424" w:lineRule="auto"/>
        <w:jc w:val="both"/>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0"/>
        <w:jc w:val="left"/>
      </w:pPr>
      <w:r>
        <w:rPr/>
        <w:t>③描述说明这些资源是否满足专业教师和学生教学需求，专业与资源管理部门的信 息沟通渠道，以及专业设施使用绩效评价考核机制。</w:t>
      </w:r>
    </w:p>
    <w:p>
      <w:pPr>
        <w:pStyle w:val="BodyText"/>
        <w:spacing w:line="331" w:lineRule="exact"/>
        <w:ind w:right="0"/>
        <w:jc w:val="left"/>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专业教学资源及数字化教学资源丰富，使用率高。教育类纸质图书</w:t>
      </w:r>
    </w:p>
    <w:p>
      <w:pPr>
        <w:pStyle w:val="BodyText"/>
        <w:spacing w:line="412" w:lineRule="exact" w:before="20"/>
        <w:ind w:right="0"/>
        <w:jc w:val="left"/>
        <w:rPr>
          <w:rFonts w:ascii="微软雅黑" w:hAnsi="微软雅黑" w:cs="微软雅黑" w:eastAsia="微软雅黑"/>
        </w:rPr>
      </w:pPr>
      <w:r>
        <w:rPr>
          <w:rFonts w:ascii="微软雅黑" w:hAnsi="微软雅黑" w:cs="微软雅黑" w:eastAsia="微软雅黑"/>
        </w:rPr>
        <w:t>充分满足师范生学习需要。建有中学教材资源库和优秀中学教育教学案例库，有国 内外多种版本中学教材，其中现行中学课程标准和教材每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424" w:lineRule="auto" w:before="125"/>
        <w:ind w:right="0"/>
        <w:jc w:val="left"/>
      </w:pPr>
      <w:r>
        <w:rPr/>
        <w:t>①描述说明中学教育专业相关多媒体教育设施和数字化教学资源建设和使用，以及 满足师范生学习需要情况。</w:t>
      </w:r>
    </w:p>
    <w:p>
      <w:pPr>
        <w:pStyle w:val="BodyText"/>
        <w:spacing w:line="424" w:lineRule="auto" w:before="65"/>
        <w:ind w:right="0"/>
        <w:jc w:val="left"/>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0"/>
        <w:jc w:val="left"/>
      </w:pPr>
      <w:r>
        <w:rPr/>
        <w:t>③描述说明用于教学设施和图书资料等更新的经费标准和预决算情况，特别是中学 教学资源库和优秀中学教育教学案例库建设情况、使用与激励机制。</w:t>
      </w:r>
    </w:p>
    <w:p>
      <w:pPr>
        <w:pStyle w:val="Heading5"/>
        <w:spacing w:line="240" w:lineRule="auto" w:before="180"/>
        <w:ind w:right="0"/>
        <w:jc w:val="left"/>
        <w:rPr>
          <w:b w:val="0"/>
          <w:bCs w:val="0"/>
        </w:rPr>
      </w:pPr>
      <w:bookmarkStart w:name="第二部分：主要问题" w:id="85"/>
      <w:bookmarkEnd w:id="85"/>
      <w:r>
        <w:rPr>
          <w:b w:val="0"/>
          <w:bCs w:val="0"/>
        </w:rPr>
      </w:r>
      <w:bookmarkStart w:name="_bookmark23" w:id="86"/>
      <w:bookmarkEnd w:id="86"/>
      <w:r>
        <w:rPr>
          <w:b w:val="0"/>
          <w:bCs w:val="0"/>
        </w:rPr>
      </w:r>
      <w:r>
        <w:rPr/>
        <w:t>第二部分：主要问题</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7"/>
        <w:rPr>
          <w:rFonts w:ascii="楷体" w:hAnsi="楷体" w:cs="楷体" w:eastAsia="楷体"/>
          <w:sz w:val="17"/>
          <w:szCs w:val="17"/>
        </w:rPr>
      </w:pPr>
    </w:p>
    <w:p>
      <w:pPr>
        <w:pStyle w:val="Heading5"/>
        <w:spacing w:line="240" w:lineRule="auto"/>
        <w:ind w:right="0"/>
        <w:jc w:val="left"/>
        <w:rPr>
          <w:b w:val="0"/>
          <w:bCs w:val="0"/>
        </w:rPr>
      </w:pPr>
      <w:bookmarkStart w:name="第三部分：改进措施" w:id="87"/>
      <w:bookmarkEnd w:id="87"/>
      <w:r>
        <w:rPr>
          <w:b w:val="0"/>
          <w:bCs w:val="0"/>
        </w:rPr>
      </w:r>
      <w:bookmarkStart w:name="_bookmark24" w:id="88"/>
      <w:bookmarkEnd w:id="88"/>
      <w:r>
        <w:rPr>
          <w:b w:val="0"/>
          <w:bCs w:val="0"/>
        </w:rPr>
      </w:r>
      <w:r>
        <w:rPr/>
        <w:t>第三部分：改进措施</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left"/>
        <w:rPr>
          <w:b w:val="0"/>
          <w:bCs w:val="0"/>
        </w:rPr>
      </w:pPr>
      <w:bookmarkStart w:name="标准7质量保障" w:id="89"/>
      <w:bookmarkEnd w:id="89"/>
      <w:r>
        <w:rPr>
          <w:b w:val="0"/>
          <w:bCs w:val="0"/>
        </w:rPr>
      </w:r>
      <w:bookmarkStart w:name="_bookmark25" w:id="90"/>
      <w:bookmarkEnd w:id="90"/>
      <w:r>
        <w:rPr>
          <w:b w:val="0"/>
          <w:bCs w:val="0"/>
        </w:rPr>
      </w:r>
      <w:r>
        <w:rPr/>
        <w:t>标准 7</w:t>
      </w:r>
      <w:r>
        <w:rPr>
          <w:spacing w:val="-32"/>
        </w:rPr>
        <w:t> </w:t>
      </w:r>
      <w:r>
        <w:rPr/>
        <w:t>质量保障</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left"/>
        <w:rPr>
          <w:b w:val="0"/>
          <w:bCs w:val="0"/>
        </w:rPr>
      </w:pPr>
      <w:bookmarkStart w:name="第一部分：达标情况" w:id="91"/>
      <w:bookmarkEnd w:id="91"/>
      <w:r>
        <w:rPr>
          <w:b w:val="0"/>
          <w:bCs w:val="0"/>
        </w:rPr>
      </w:r>
      <w:bookmarkStart w:name="_bookmark26" w:id="92"/>
      <w:bookmarkEnd w:id="92"/>
      <w:r>
        <w:rPr>
          <w:b w:val="0"/>
          <w:bCs w:val="0"/>
        </w:rPr>
      </w:r>
      <w:r>
        <w:rPr/>
        <w:t>第一部分：达标情况</w:t>
      </w:r>
      <w:r>
        <w:rPr>
          <w:b w:val="0"/>
          <w:bCs w:val="0"/>
        </w:rPr>
      </w:r>
    </w:p>
    <w:p>
      <w:pPr>
        <w:spacing w:after="0" w:line="240" w:lineRule="auto"/>
        <w:jc w:val="left"/>
        <w:sectPr>
          <w:pgSz w:w="12240" w:h="15840"/>
          <w:pgMar w:header="773" w:footer="700" w:top="960" w:bottom="880" w:left="1680" w:right="1640"/>
        </w:sectPr>
      </w:pPr>
    </w:p>
    <w:p>
      <w:pPr>
        <w:spacing w:line="240" w:lineRule="auto" w:before="4"/>
        <w:rPr>
          <w:rFonts w:ascii="微软雅黑" w:hAnsi="微软雅黑" w:cs="微软雅黑" w:eastAsia="微软雅黑"/>
          <w:b/>
          <w:bCs/>
          <w:sz w:val="24"/>
          <w:szCs w:val="24"/>
        </w:rPr>
      </w:pPr>
    </w:p>
    <w:p>
      <w:pPr>
        <w:spacing w:line="273" w:lineRule="auto" w:before="34"/>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235"/>
        <w:jc w:val="both"/>
        <w:rPr>
          <w:rFonts w:ascii="微软雅黑" w:hAnsi="微软雅黑" w:cs="微软雅黑" w:eastAsia="微软雅黑"/>
        </w:rPr>
      </w:pPr>
      <w:r>
        <w:rPr>
          <w:rFonts w:ascii="微软雅黑" w:hAnsi="微软雅黑" w:cs="微软雅黑" w:eastAsia="微软雅黑"/>
        </w:rPr>
        <w:t>7.1 [保障体系] 建立完善的教学质量保障体系，各主要教学环节有清晰明确、科学 合理的质量要求。质量保障目标清晰，任务明确，机构健全，责任到人，能够有效 支持毕业要求达成。</w:t>
      </w:r>
    </w:p>
    <w:p>
      <w:pPr>
        <w:pStyle w:val="BodyText"/>
        <w:spacing w:line="240" w:lineRule="auto" w:before="145"/>
        <w:ind w:right="0"/>
        <w:jc w:val="both"/>
      </w:pPr>
      <w:r>
        <w:rPr/>
        <w:t>①描述说明学校和院系两级教学质量保障体系架构与运行方式。</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②描述说明学校和院系两级教学质量保障机构、目标、任务、职责分工、责任人及 对专业毕业要求所起的支持作用。</w:t>
      </w:r>
    </w:p>
    <w:p>
      <w:pPr>
        <w:pStyle w:val="BodyText"/>
        <w:spacing w:line="424" w:lineRule="auto" w:before="65"/>
        <w:ind w:right="239"/>
        <w:jc w:val="both"/>
      </w:pPr>
      <w:r>
        <w:rPr/>
        <w:pict>
          <v:shape style="position:absolute;margin-left:89.760002pt;margin-top:60.817501pt;width:411.85pt;height:95.6pt;mso-position-horizontal-relative:page;mso-position-vertical-relative:paragraph;z-index:126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7"/>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ind w:right="0"/>
                          <w:jc w:val="left"/>
                          <w:rPr>
                            <w:rFonts w:ascii="华文楷体" w:hAnsi="华文楷体" w:cs="华文楷体" w:eastAsia="华文楷体"/>
                            <w:sz w:val="21"/>
                            <w:szCs w:val="21"/>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0"/>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7"/>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410" w:lineRule="exact" w:before="113"/>
        <w:ind w:right="35"/>
        <w:jc w:val="left"/>
        <w:rPr>
          <w:rFonts w:ascii="微软雅黑" w:hAnsi="微软雅黑" w:cs="微软雅黑" w:eastAsia="微软雅黑"/>
        </w:rPr>
      </w:pPr>
      <w:r>
        <w:rPr>
          <w:rFonts w:ascii="微软雅黑" w:hAnsi="微软雅黑" w:cs="微软雅黑" w:eastAsia="微软雅黑"/>
        </w:rPr>
        <w:t>7.2 [内部监控] 建立教学质量监控与评价机制并有效执行，运用信息技术对各主要 教学环节质量实施全程监控与常态化评价，保障毕业要求达成。</w:t>
      </w:r>
    </w:p>
    <w:p>
      <w:pPr>
        <w:pStyle w:val="BodyText"/>
        <w:spacing w:line="424" w:lineRule="auto" w:before="125"/>
        <w:ind w:right="35"/>
        <w:jc w:val="left"/>
      </w:pPr>
      <w:r>
        <w:rPr/>
        <w:t>①描述说明学校和院系两级教学质量监控与评价机制的建立情况，列出教学管理和 质量保障规章制度。</w:t>
      </w:r>
    </w:p>
    <w:p>
      <w:pPr>
        <w:pStyle w:val="BodyText"/>
        <w:spacing w:line="424" w:lineRule="auto" w:before="65"/>
        <w:ind w:right="119"/>
        <w:jc w:val="both"/>
      </w:pPr>
      <w:r>
        <w:rPr/>
        <w:t>②描述说明学校和院系两级定期开展专业教学质量评价（重点监控专业开展的课程 评价和毕业要求达成评价）情况，包括评估评价周期、评估评价对象、评估评价内 </w:t>
      </w:r>
      <w:r>
        <w:rPr>
          <w:spacing w:val="-4"/>
        </w:rPr>
        <w:t>容、评估评价渠道等，以及最近一次开展的专业教学质量评价的内容、方法和结果。</w:t>
      </w:r>
    </w:p>
    <w:p>
      <w:pPr>
        <w:pStyle w:val="BodyText"/>
        <w:spacing w:line="424" w:lineRule="auto" w:before="65"/>
        <w:ind w:right="35"/>
        <w:jc w:val="left"/>
      </w:pPr>
      <w:r>
        <w:rPr/>
        <w:t>③描述说明专业毕业要求达成的评价机制和方法，包括评价制度、评价周期、评价 </w:t>
      </w:r>
      <w:r>
        <w:rPr>
          <w:spacing w:val="-7"/>
        </w:rPr>
        <w:t>依据（主要来源于课程目标达成评价结果）、评价程序、评价方法和评价责任人。针</w:t>
      </w:r>
    </w:p>
    <w:p>
      <w:pPr>
        <w:spacing w:after="0" w:line="424"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2400" w:right="35"/>
        <w:jc w:val="left"/>
      </w:pPr>
      <w:r>
        <w:rPr/>
        <w:t>最近一次毕业要求达成度评价的依据表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1162"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576" w:lineRule="exact" w:before="32"/>
              <w:ind w:left="352" w:right="143" w:hanging="212"/>
              <w:jc w:val="left"/>
              <w:rPr>
                <w:rFonts w:ascii="楷体" w:hAnsi="楷体" w:cs="楷体" w:eastAsia="楷体"/>
                <w:sz w:val="21"/>
                <w:szCs w:val="21"/>
              </w:rPr>
            </w:pPr>
            <w:r>
              <w:rPr>
                <w:rFonts w:ascii="楷体" w:hAnsi="楷体" w:cs="楷体" w:eastAsia="楷体"/>
                <w:sz w:val="21"/>
                <w:szCs w:val="21"/>
              </w:rPr>
              <w:t>专业毕业</w:t>
            </w:r>
            <w:r>
              <w:rPr>
                <w:rFonts w:ascii="楷体" w:hAnsi="楷体" w:cs="楷体" w:eastAsia="楷体"/>
                <w:w w:val="99"/>
                <w:sz w:val="21"/>
                <w:szCs w:val="21"/>
              </w:rPr>
              <w:t> </w:t>
            </w: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296" w:right="296" w:firstLine="105"/>
              <w:jc w:val="left"/>
              <w:rPr>
                <w:rFonts w:ascii="楷体" w:hAnsi="楷体" w:cs="楷体" w:eastAsia="楷体"/>
                <w:sz w:val="21"/>
                <w:szCs w:val="21"/>
              </w:rPr>
            </w:pPr>
            <w:r>
              <w:rPr>
                <w:rFonts w:ascii="楷体" w:hAnsi="楷体" w:cs="楷体" w:eastAsia="楷体"/>
                <w:sz w:val="21"/>
                <w:szCs w:val="21"/>
              </w:rPr>
              <w:t>评价</w:t>
            </w:r>
            <w:r>
              <w:rPr>
                <w:rFonts w:ascii="楷体" w:hAnsi="楷体" w:cs="楷体" w:eastAsia="楷体"/>
                <w:w w:val="99"/>
                <w:sz w:val="21"/>
                <w:szCs w:val="21"/>
              </w:rPr>
              <w:t> </w:t>
            </w: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323" w:right="323"/>
              <w:jc w:val="left"/>
              <w:rPr>
                <w:rFonts w:ascii="楷体" w:hAnsi="楷体" w:cs="楷体" w:eastAsia="楷体"/>
                <w:sz w:val="21"/>
                <w:szCs w:val="21"/>
              </w:rPr>
            </w:pPr>
            <w:r>
              <w:rPr>
                <w:rFonts w:ascii="楷体" w:hAnsi="楷体" w:cs="楷体" w:eastAsia="楷体"/>
                <w:sz w:val="21"/>
                <w:szCs w:val="21"/>
              </w:rPr>
              <w:t>课程考</w:t>
            </w:r>
            <w:r>
              <w:rPr>
                <w:rFonts w:ascii="楷体" w:hAnsi="楷体" w:cs="楷体" w:eastAsia="楷体"/>
                <w:w w:val="99"/>
                <w:sz w:val="21"/>
                <w:szCs w:val="21"/>
              </w:rPr>
              <w:t> </w:t>
            </w: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3"/>
                <w:szCs w:val="23"/>
              </w:rPr>
            </w:pPr>
          </w:p>
          <w:p>
            <w:pPr>
              <w:pStyle w:val="TableParagraph"/>
              <w:spacing w:line="278" w:lineRule="auto"/>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4"/>
                <w:szCs w:val="14"/>
              </w:rPr>
            </w:pPr>
          </w:p>
          <w:p>
            <w:pPr>
              <w:pStyle w:val="TableParagraph"/>
              <w:spacing w:line="240" w:lineRule="auto"/>
              <w:ind w:left="252" w:right="0"/>
              <w:jc w:val="left"/>
              <w:rPr>
                <w:rFonts w:ascii="楷体" w:hAnsi="楷体" w:cs="楷体" w:eastAsia="楷体"/>
                <w:sz w:val="21"/>
                <w:szCs w:val="21"/>
              </w:rPr>
            </w:pPr>
            <w:r>
              <w:rPr>
                <w:rFonts w:ascii="楷体" w:hAnsi="楷体" w:cs="楷体" w:eastAsia="楷体"/>
                <w:sz w:val="21"/>
                <w:szCs w:val="21"/>
              </w:rPr>
              <w:t>形成的记录文档</w:t>
            </w: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2"/>
        <w:rPr>
          <w:rFonts w:ascii="华文楷体" w:hAnsi="华文楷体" w:cs="华文楷体" w:eastAsia="华文楷体"/>
          <w:sz w:val="7"/>
          <w:szCs w:val="7"/>
        </w:rPr>
      </w:pPr>
    </w:p>
    <w:p>
      <w:pPr>
        <w:spacing w:line="344" w:lineRule="exact" w:before="0"/>
        <w:ind w:left="240" w:right="35"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④描述说明学校和院系两级运用信息技术全过程监控与评价专业教学过程用以保障 专业毕业要求达成的情况。</w:t>
      </w:r>
    </w:p>
    <w:p>
      <w:pPr>
        <w:pStyle w:val="BodyText"/>
        <w:spacing w:line="331" w:lineRule="exact"/>
        <w:ind w:right="35"/>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建立毕业生持续跟踪反馈机制以及基础教育机构、教育行政部门等</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利益相关方参与的多元社会评价机制，对培养目标的达成度进行定期评价。</w:t>
      </w:r>
    </w:p>
    <w:p>
      <w:pPr>
        <w:pStyle w:val="BodyText"/>
        <w:spacing w:line="240" w:lineRule="auto" w:before="142"/>
        <w:ind w:right="35"/>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spacing w:val="-4"/>
        </w:rPr>
        <w:t>②描述说明中学、教育行政部门等利益相关方参与的多元社会评价机制的建立情况。</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③描述说明培养目标达成评价的方法、周期以及最近一次毕业生、中学、教育行政 部门等利益相关方对培养目标达成进行评价的内容、方法和结果。</w:t>
      </w:r>
    </w:p>
    <w:p>
      <w:pPr>
        <w:pStyle w:val="BodyText"/>
        <w:spacing w:line="333" w:lineRule="exact"/>
        <w:ind w:right="35"/>
        <w:jc w:val="left"/>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推动师范生培养质量的持续改进和提高，形成追求卓越的质量文化。</w:t>
      </w:r>
    </w:p>
    <w:p>
      <w:pPr>
        <w:pStyle w:val="BodyText"/>
        <w:spacing w:line="424" w:lineRule="auto" w:before="142"/>
        <w:ind w:right="35"/>
        <w:jc w:val="left"/>
      </w:pPr>
      <w:r>
        <w:rPr>
          <w:spacing w:val="-2"/>
        </w:rPr>
        <w:t>①.描述说明专业近三年综合分析内部质量监控和外部评价结果，用于推动师范生培</w:t>
      </w:r>
      <w:r>
        <w:rPr>
          <w:spacing w:val="-39"/>
        </w:rPr>
        <w:t> </w:t>
      </w:r>
      <w:r>
        <w:rPr>
          <w:spacing w:val="-39"/>
        </w:rPr>
      </w:r>
      <w:r>
        <w:rPr/>
        <w:t>养质量持续改进和提高的情况，并举例说明。</w:t>
      </w:r>
    </w:p>
    <w:p>
      <w:pPr>
        <w:pStyle w:val="BodyText"/>
        <w:spacing w:line="240" w:lineRule="auto" w:before="65"/>
        <w:ind w:right="35"/>
        <w:jc w:val="left"/>
      </w:pPr>
      <w:r>
        <w:rPr/>
        <w:t>②描述说明专业推进持续改进、追求卓越的质量文化建设的情况，并举例说明。</w:t>
      </w:r>
    </w:p>
    <w:p>
      <w:pPr>
        <w:spacing w:line="240" w:lineRule="auto" w:before="9"/>
        <w:rPr>
          <w:rFonts w:ascii="华文楷体" w:hAnsi="华文楷体" w:cs="华文楷体" w:eastAsia="华文楷体"/>
          <w:sz w:val="26"/>
          <w:szCs w:val="26"/>
        </w:rPr>
      </w:pPr>
    </w:p>
    <w:p>
      <w:pPr>
        <w:pStyle w:val="Heading5"/>
        <w:spacing w:line="240" w:lineRule="auto"/>
        <w:ind w:right="35"/>
        <w:jc w:val="left"/>
        <w:rPr>
          <w:b w:val="0"/>
          <w:bCs w:val="0"/>
        </w:rPr>
      </w:pPr>
      <w:bookmarkStart w:name="第二部分：主要问题" w:id="93"/>
      <w:bookmarkEnd w:id="93"/>
      <w:r>
        <w:rPr>
          <w:b w:val="0"/>
          <w:bCs w:val="0"/>
        </w:rPr>
      </w:r>
      <w:bookmarkStart w:name="_bookmark27" w:id="94"/>
      <w:bookmarkEnd w:id="94"/>
      <w:r>
        <w:rPr>
          <w:b w:val="0"/>
          <w:bCs w:val="0"/>
        </w:rPr>
      </w:r>
      <w:r>
        <w:rPr/>
        <w:t>第二部分：主要问题</w:t>
      </w:r>
      <w:r>
        <w:rPr>
          <w:b w:val="0"/>
          <w:bCs w:val="0"/>
        </w:rPr>
      </w:r>
    </w:p>
    <w:p>
      <w:pPr>
        <w:spacing w:after="0" w:line="240" w:lineRule="auto"/>
        <w:jc w:val="left"/>
        <w:sectPr>
          <w:pgSz w:w="12240" w:h="15840"/>
          <w:pgMar w:header="773" w:footer="700" w:top="960" w:bottom="880" w:left="1680" w:right="1560"/>
        </w:sectPr>
      </w:pPr>
    </w:p>
    <w:p>
      <w:pPr>
        <w:spacing w:line="240" w:lineRule="auto" w:before="4"/>
        <w:rPr>
          <w:rFonts w:ascii="微软雅黑" w:hAnsi="微软雅黑" w:cs="微软雅黑" w:eastAsia="微软雅黑"/>
          <w:b/>
          <w:bCs/>
          <w:sz w:val="24"/>
          <w:szCs w:val="24"/>
        </w:rPr>
      </w:pPr>
    </w:p>
    <w:p>
      <w:pPr>
        <w:spacing w:line="273" w:lineRule="auto" w:before="34"/>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7"/>
        <w:ind w:right="0"/>
        <w:jc w:val="both"/>
        <w:rPr>
          <w:b w:val="0"/>
          <w:bCs w:val="0"/>
        </w:rPr>
      </w:pPr>
      <w:bookmarkStart w:name="第三部分：改进措施" w:id="95"/>
      <w:bookmarkEnd w:id="95"/>
      <w:r>
        <w:rPr>
          <w:b w:val="0"/>
          <w:bCs w:val="0"/>
        </w:rPr>
      </w:r>
      <w:bookmarkStart w:name="_bookmark28" w:id="96"/>
      <w:bookmarkEnd w:id="96"/>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97"/>
      <w:bookmarkEnd w:id="97"/>
      <w:r>
        <w:rPr>
          <w:b w:val="0"/>
          <w:bCs w:val="0"/>
        </w:rPr>
      </w:r>
      <w:bookmarkStart w:name="_bookmark29" w:id="98"/>
      <w:bookmarkEnd w:id="98"/>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99"/>
      <w:bookmarkEnd w:id="99"/>
      <w:r>
        <w:rPr>
          <w:b w:val="0"/>
          <w:bCs w:val="0"/>
        </w:rPr>
      </w:r>
      <w:bookmarkStart w:name="_bookmark30" w:id="100"/>
      <w:bookmarkEnd w:id="100"/>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0"/>
        <w:jc w:val="left"/>
        <w:rPr>
          <w:rFonts w:ascii="微软雅黑" w:hAnsi="微软雅黑" w:cs="微软雅黑" w:eastAsia="微软雅黑"/>
        </w:rPr>
      </w:pPr>
      <w:r>
        <w:rPr>
          <w:rFonts w:ascii="微软雅黑" w:hAnsi="微软雅黑" w:cs="微软雅黑" w:eastAsia="微软雅黑"/>
        </w:rPr>
        <w:t>8.1 [生源质量] 建立符合教师教育特点的制度措施，能够吸引乐教、适教的优秀生 源。</w:t>
      </w:r>
    </w:p>
    <w:p>
      <w:pPr>
        <w:pStyle w:val="BodyText"/>
        <w:spacing w:line="240" w:lineRule="auto" w:before="125"/>
        <w:ind w:right="0"/>
        <w:jc w:val="both"/>
      </w:pPr>
      <w:r>
        <w:rPr/>
        <w:t>①列表说明专业近三年生源情况。</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4"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1"/>
          <w:szCs w:val="21"/>
        </w:rPr>
      </w:pPr>
    </w:p>
    <w:p>
      <w:pPr>
        <w:pStyle w:val="BodyText"/>
        <w:spacing w:line="350" w:lineRule="exact" w:before="2"/>
        <w:ind w:right="119"/>
        <w:jc w:val="both"/>
      </w:pPr>
      <w:r>
        <w:rPr/>
        <w:t>②描述说明学校和院系两级建立符合中学教育类专业和教师教育特点、吸引乐教、 适教的优秀生源制度措施及效果情况。</w:t>
      </w:r>
    </w:p>
    <w:p>
      <w:pPr>
        <w:spacing w:line="240" w:lineRule="auto" w:before="2"/>
        <w:rPr>
          <w:rFonts w:ascii="华文楷体" w:hAnsi="华文楷体" w:cs="华文楷体" w:eastAsia="华文楷体"/>
          <w:sz w:val="27"/>
          <w:szCs w:val="27"/>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8.2 [学生需求] 充分了解师范生发展诉求，加强学情分析。设计兼顾共性要求与个 性需求的培养方案与教学管理制度，鼓励跨院、跨校选修课程，为师范生的自主选 择和发展提供足够的空间。</w:t>
      </w:r>
    </w:p>
    <w:p>
      <w:pPr>
        <w:spacing w:line="240" w:lineRule="auto" w:before="5"/>
        <w:rPr>
          <w:rFonts w:ascii="微软雅黑" w:hAnsi="微软雅黑" w:cs="微软雅黑" w:eastAsia="微软雅黑"/>
          <w:sz w:val="17"/>
          <w:szCs w:val="17"/>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after="0" w:line="424" w:lineRule="auto"/>
        <w:jc w:val="both"/>
        <w:sectPr>
          <w:footerReference w:type="default" r:id="rId32"/>
          <w:pgSz w:w="12240" w:h="15840"/>
          <w:pgMar w:footer="680" w:header="773" w:top="960" w:bottom="860" w:left="1680" w:right="1680"/>
          <w:pgNumType w:start="2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建立完善的师范生指导与服务体系，加强思想政治教育，能够适时</w:t>
      </w:r>
    </w:p>
    <w:p>
      <w:pPr>
        <w:pStyle w:val="BodyText"/>
        <w:spacing w:line="412" w:lineRule="exact" w:before="20"/>
        <w:ind w:right="119"/>
        <w:jc w:val="both"/>
        <w:rPr>
          <w:rFonts w:ascii="微软雅黑" w:hAnsi="微软雅黑" w:cs="微软雅黑" w:eastAsia="微软雅黑"/>
        </w:rPr>
      </w:pPr>
      <w:r>
        <w:rPr>
          <w:rFonts w:ascii="微软雅黑" w:hAnsi="微软雅黑" w:cs="微软雅黑" w:eastAsia="微软雅黑"/>
        </w:rPr>
        <w:t>为师范生提供生活指导、学习指导、职业生涯指导、就业创业指导、心理健康指导 等，满足师范生成长需求，并取得实效。</w:t>
      </w:r>
    </w:p>
    <w:p>
      <w:pPr>
        <w:pStyle w:val="BodyText"/>
        <w:spacing w:line="240" w:lineRule="auto" w:before="125"/>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建立形成性评价机制，对师范生在整个学习过程中的表现进行跟踪</w:t>
      </w:r>
    </w:p>
    <w:p>
      <w:pPr>
        <w:pStyle w:val="BodyText"/>
        <w:spacing w:line="410" w:lineRule="exact" w:before="21"/>
        <w:ind w:right="119"/>
        <w:jc w:val="both"/>
        <w:rPr>
          <w:rFonts w:ascii="微软雅黑" w:hAnsi="微软雅黑" w:cs="微软雅黑" w:eastAsia="微软雅黑"/>
        </w:rPr>
      </w:pPr>
      <w:r>
        <w:rPr>
          <w:rFonts w:ascii="微软雅黑" w:hAnsi="微软雅黑" w:cs="微软雅黑" w:eastAsia="微软雅黑"/>
        </w:rPr>
        <w:t>与评估，鼓励师范生自我监测和自我评价，及时形成指导意见和改进策略，保证师 范生在毕业时达到毕业要求。</w:t>
      </w:r>
    </w:p>
    <w:p>
      <w:pPr>
        <w:pStyle w:val="BodyText"/>
        <w:spacing w:line="424" w:lineRule="auto" w:before="125"/>
        <w:ind w:right="119"/>
        <w:jc w:val="both"/>
      </w:pPr>
      <w:r>
        <w:rPr/>
        <w:t>①描述说明师范生形成性评价机制的建立情况，及对师范生在整个学习过程中的表 现进行跟踪与评估情况及实施成效。</w:t>
      </w:r>
    </w:p>
    <w:p>
      <w:pPr>
        <w:pStyle w:val="BodyText"/>
        <w:spacing w:line="424" w:lineRule="auto" w:before="65"/>
        <w:ind w:right="119"/>
        <w:jc w:val="both"/>
      </w:pPr>
      <w:r>
        <w:rPr/>
        <w:t>②描述说明近三年师范生学业预警情况，分析指导师范生开展自我监测和自我评价 评价的效果。</w:t>
      </w:r>
    </w:p>
    <w:p>
      <w:pPr>
        <w:pStyle w:val="BodyText"/>
        <w:spacing w:line="424" w:lineRule="auto" w:before="65"/>
        <w:ind w:right="119"/>
        <w:jc w:val="both"/>
      </w:pPr>
      <w:r>
        <w:rPr/>
        <w:t>③描述说明根据学生自我监测和自我评价结果进行指导和改进用以保证师范生在毕 业时达到专业毕业要求的情况，并举例说明。</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8.5 [就业质量] 毕业生的初次就业率不低于</w:t>
      </w:r>
      <w:r>
        <w:rPr>
          <w:rFonts w:ascii="微软雅黑" w:hAnsi="微软雅黑" w:cs="微软雅黑" w:eastAsia="微软雅黑"/>
          <w:spacing w:val="-9"/>
        </w:rPr>
        <w:t> </w:t>
      </w:r>
      <w:r>
        <w:rPr>
          <w:rFonts w:ascii="微软雅黑" w:hAnsi="微软雅黑" w:cs="微软雅黑" w:eastAsia="微软雅黑"/>
        </w:rPr>
        <w:t>75%，获得教师资格证书的比例不低于</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85%，且主要从事教育工作。</w:t>
      </w:r>
    </w:p>
    <w:p>
      <w:pPr>
        <w:spacing w:after="0" w:line="412" w:lineRule="exact"/>
        <w:jc w:val="both"/>
        <w:rPr>
          <w:rFonts w:ascii="微软雅黑" w:hAnsi="微软雅黑" w:cs="微软雅黑" w:eastAsia="微软雅黑"/>
        </w:rPr>
        <w:sectPr>
          <w:pgSz w:w="12240" w:h="15840"/>
          <w:pgMar w:header="773" w:footer="680" w:top="960" w:bottom="880" w:left="1680" w:right="168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344" w:lineRule="exact"/>
        <w:ind w:left="1240" w:right="0"/>
        <w:jc w:val="left"/>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②列表说明近三年专业毕业生教师资格考试通过率、就业率及就业去向，并对就业 质量及毕业生从教情况进行分析。</w:t>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20"/>
          <w:szCs w:val="20"/>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829"/>
        <w:gridCol w:w="935"/>
        <w:gridCol w:w="623"/>
        <w:gridCol w:w="1144"/>
        <w:gridCol w:w="1148"/>
        <w:gridCol w:w="735"/>
        <w:gridCol w:w="590"/>
        <w:gridCol w:w="827"/>
        <w:gridCol w:w="549"/>
        <w:gridCol w:w="590"/>
      </w:tblGrid>
      <w:tr>
        <w:trPr>
          <w:trHeight w:val="478"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408"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54" w:right="0"/>
              <w:jc w:val="left"/>
              <w:rPr>
                <w:rFonts w:ascii="楷体" w:hAnsi="楷体" w:cs="楷体" w:eastAsia="楷体"/>
                <w:sz w:val="21"/>
                <w:szCs w:val="21"/>
              </w:rPr>
            </w:pPr>
            <w:r>
              <w:rPr>
                <w:rFonts w:ascii="楷体" w:hAnsi="楷体" w:cs="楷体" w:eastAsia="楷体"/>
                <w:sz w:val="21"/>
                <w:szCs w:val="21"/>
              </w:rPr>
              <w:t>毕业</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8"/>
                <w:szCs w:val="28"/>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68" w:right="0"/>
              <w:jc w:val="left"/>
              <w:rPr>
                <w:rFonts w:ascii="楷体" w:hAnsi="楷体" w:cs="楷体" w:eastAsia="楷体"/>
                <w:sz w:val="21"/>
                <w:szCs w:val="21"/>
              </w:rPr>
            </w:pPr>
            <w:r>
              <w:rPr>
                <w:rFonts w:ascii="楷体" w:hAnsi="楷体" w:cs="楷体" w:eastAsia="楷体"/>
                <w:sz w:val="21"/>
                <w:szCs w:val="21"/>
              </w:rPr>
              <w:t>获学</w:t>
            </w:r>
          </w:p>
        </w:tc>
        <w:tc>
          <w:tcPr>
            <w:tcW w:w="829" w:type="dxa"/>
            <w:vMerge w:val="restart"/>
            <w:tcBorders>
              <w:top w:val="single" w:sz="4" w:space="0" w:color="000000"/>
              <w:left w:val="single" w:sz="4" w:space="0" w:color="000000"/>
              <w:right w:val="nil" w:sz="6" w:space="0" w:color="auto"/>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3"/>
              <w:ind w:right="0"/>
              <w:jc w:val="left"/>
              <w:rPr>
                <w:rFonts w:ascii="华文楷体" w:hAnsi="华文楷体" w:cs="华文楷体" w:eastAsia="华文楷体"/>
                <w:sz w:val="16"/>
                <w:szCs w:val="16"/>
              </w:rPr>
            </w:pPr>
          </w:p>
          <w:p>
            <w:pPr>
              <w:pStyle w:val="TableParagraph"/>
              <w:spacing w:line="240" w:lineRule="auto"/>
              <w:ind w:left="120" w:right="0"/>
              <w:jc w:val="left"/>
              <w:rPr>
                <w:rFonts w:ascii="楷体" w:hAnsi="楷体" w:cs="楷体" w:eastAsia="楷体"/>
                <w:sz w:val="21"/>
                <w:szCs w:val="21"/>
              </w:rPr>
            </w:pPr>
            <w:r>
              <w:rPr>
                <w:rFonts w:ascii="楷体" w:hAnsi="楷体" w:cs="楷体" w:eastAsia="楷体"/>
                <w:sz w:val="21"/>
                <w:szCs w:val="21"/>
              </w:rPr>
              <w:t>获教师</w:t>
            </w:r>
          </w:p>
        </w:tc>
        <w:tc>
          <w:tcPr>
            <w:tcW w:w="935" w:type="dxa"/>
            <w:vMerge w:val="restart"/>
            <w:tcBorders>
              <w:top w:val="single" w:sz="4" w:space="0" w:color="000000"/>
              <w:left w:val="nil" w:sz="6" w:space="0" w:color="auto"/>
              <w:right w:val="single" w:sz="4" w:space="0" w:color="000000"/>
            </w:tcBorders>
          </w:tcPr>
          <w:p>
            <w:pPr/>
          </w:p>
        </w:tc>
        <w:tc>
          <w:tcPr>
            <w:tcW w:w="6206" w:type="dxa"/>
            <w:gridSpan w:val="8"/>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354"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tcBorders>
              <w:left w:val="single" w:sz="4" w:space="0" w:color="000000"/>
              <w:bottom w:val="nil" w:sz="6" w:space="0" w:color="auto"/>
              <w:right w:val="nil" w:sz="6" w:space="0" w:color="auto"/>
            </w:tcBorders>
          </w:tcPr>
          <w:p>
            <w:pPr/>
          </w:p>
        </w:tc>
        <w:tc>
          <w:tcPr>
            <w:tcW w:w="935" w:type="dxa"/>
            <w:vMerge/>
            <w:tcBorders>
              <w:left w:val="nil" w:sz="6" w:space="0" w:color="auto"/>
              <w:bottom w:val="nil" w:sz="6" w:space="0" w:color="auto"/>
              <w:right w:val="single" w:sz="4" w:space="0" w:color="000000"/>
            </w:tcBorders>
          </w:tcPr>
          <w:p>
            <w:pPr/>
          </w:p>
        </w:tc>
        <w:tc>
          <w:tcPr>
            <w:tcW w:w="62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1144" w:type="dxa"/>
            <w:tcBorders>
              <w:top w:val="single" w:sz="4" w:space="0" w:color="000000"/>
              <w:left w:val="single" w:sz="4" w:space="0" w:color="000000"/>
              <w:bottom w:val="nil" w:sz="6" w:space="0" w:color="auto"/>
              <w:right w:val="nil" w:sz="6" w:space="0" w:color="auto"/>
            </w:tcBorders>
          </w:tcPr>
          <w:p>
            <w:pPr>
              <w:pStyle w:val="TableParagraph"/>
              <w:spacing w:line="240" w:lineRule="auto" w:before="65"/>
              <w:ind w:left="148" w:right="0"/>
              <w:jc w:val="left"/>
              <w:rPr>
                <w:rFonts w:ascii="楷体" w:hAnsi="楷体" w:cs="楷体" w:eastAsia="楷体"/>
                <w:sz w:val="21"/>
                <w:szCs w:val="21"/>
              </w:rPr>
            </w:pPr>
            <w:r>
              <w:rPr>
                <w:rFonts w:ascii="楷体" w:hAnsi="楷体" w:cs="楷体" w:eastAsia="楷体"/>
                <w:sz w:val="21"/>
                <w:szCs w:val="21"/>
              </w:rPr>
              <w:t>政府及事</w:t>
            </w:r>
          </w:p>
        </w:tc>
        <w:tc>
          <w:tcPr>
            <w:tcW w:w="1148" w:type="dxa"/>
            <w:tcBorders>
              <w:top w:val="single" w:sz="4" w:space="0" w:color="000000"/>
              <w:left w:val="nil" w:sz="6" w:space="0" w:color="auto"/>
              <w:bottom w:val="nil" w:sz="6" w:space="0" w:color="auto"/>
              <w:right w:val="single" w:sz="4" w:space="0" w:color="000000"/>
            </w:tcBorders>
          </w:tcPr>
          <w:p>
            <w:pPr>
              <w:pStyle w:val="TableParagraph"/>
              <w:spacing w:line="240" w:lineRule="auto" w:before="65"/>
              <w:ind w:left="153" w:right="0"/>
              <w:jc w:val="left"/>
              <w:rPr>
                <w:rFonts w:ascii="楷体" w:hAnsi="楷体" w:cs="楷体" w:eastAsia="楷体"/>
                <w:sz w:val="21"/>
                <w:szCs w:val="21"/>
              </w:rPr>
            </w:pPr>
            <w:r>
              <w:rPr>
                <w:rFonts w:ascii="楷体" w:hAnsi="楷体" w:cs="楷体" w:eastAsia="楷体"/>
                <w:sz w:val="21"/>
                <w:szCs w:val="21"/>
              </w:rPr>
              <w:t>政府及事</w:t>
            </w:r>
          </w:p>
        </w:tc>
        <w:tc>
          <w:tcPr>
            <w:tcW w:w="73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240" w:lineRule="auto"/>
              <w:ind w:left="152" w:right="0"/>
              <w:jc w:val="left"/>
              <w:rPr>
                <w:rFonts w:ascii="楷体" w:hAnsi="楷体" w:cs="楷体" w:eastAsia="楷体"/>
                <w:sz w:val="21"/>
                <w:szCs w:val="21"/>
              </w:rPr>
            </w:pPr>
            <w:r>
              <w:rPr>
                <w:rFonts w:ascii="楷体" w:hAnsi="楷体" w:cs="楷体" w:eastAsia="楷体"/>
                <w:sz w:val="21"/>
                <w:szCs w:val="21"/>
              </w:rPr>
              <w:t>国有</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240" w:lineRule="auto"/>
              <w:ind w:left="198" w:right="0"/>
              <w:jc w:val="left"/>
              <w:rPr>
                <w:rFonts w:ascii="楷体" w:hAnsi="楷体" w:cs="楷体" w:eastAsia="楷体"/>
                <w:sz w:val="21"/>
                <w:szCs w:val="21"/>
              </w:rPr>
            </w:pPr>
            <w:r>
              <w:rPr>
                <w:rFonts w:ascii="楷体" w:hAnsi="楷体" w:cs="楷体" w:eastAsia="楷体"/>
                <w:sz w:val="21"/>
                <w:szCs w:val="21"/>
              </w:rPr>
              <w:t>其它</w:t>
            </w:r>
          </w:p>
        </w:tc>
        <w:tc>
          <w:tcPr>
            <w:tcW w:w="5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228"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179" w:right="0"/>
              <w:jc w:val="left"/>
              <w:rPr>
                <w:rFonts w:ascii="楷体" w:hAnsi="楷体" w:cs="楷体" w:eastAsia="楷体"/>
                <w:sz w:val="21"/>
                <w:szCs w:val="21"/>
              </w:rPr>
            </w:pPr>
            <w:r>
              <w:rPr>
                <w:rFonts w:ascii="楷体" w:hAnsi="楷体" w:cs="楷体" w:eastAsia="楷体"/>
                <w:sz w:val="21"/>
                <w:szCs w:val="21"/>
              </w:rPr>
              <w:t>一次就</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40" w:hRule="exact"/>
        </w:trPr>
        <w:tc>
          <w:tcPr>
            <w:tcW w:w="555" w:type="dxa"/>
            <w:vMerge/>
            <w:tcBorders>
              <w:left w:val="single" w:sz="4" w:space="0" w:color="000000"/>
              <w:right w:val="single" w:sz="4" w:space="0" w:color="000000"/>
            </w:tcBorders>
          </w:tcPr>
          <w:p>
            <w:pPr/>
          </w:p>
        </w:tc>
        <w:tc>
          <w:tcPr>
            <w:tcW w:w="739" w:type="dxa"/>
            <w:tcBorders>
              <w:top w:val="nil" w:sz="6" w:space="0" w:color="auto"/>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tcBorders>
              <w:top w:val="nil" w:sz="6" w:space="0" w:color="auto"/>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Style w:val="TableParagraph"/>
              <w:spacing w:line="219" w:lineRule="exact"/>
              <w:ind w:left="120" w:right="0"/>
              <w:jc w:val="left"/>
              <w:rPr>
                <w:rFonts w:ascii="楷体" w:hAnsi="楷体" w:cs="楷体" w:eastAsia="楷体"/>
                <w:sz w:val="21"/>
                <w:szCs w:val="21"/>
              </w:rPr>
            </w:pPr>
            <w:r>
              <w:rPr>
                <w:rFonts w:ascii="楷体" w:hAnsi="楷体" w:cs="楷体" w:eastAsia="楷体"/>
                <w:sz w:val="21"/>
                <w:szCs w:val="21"/>
              </w:rPr>
              <w:t>资格证</w:t>
            </w:r>
          </w:p>
        </w:tc>
        <w:tc>
          <w:tcPr>
            <w:tcW w:w="935" w:type="dxa"/>
            <w:tcBorders>
              <w:top w:val="nil" w:sz="6" w:space="0" w:color="auto"/>
              <w:left w:val="nil" w:sz="6" w:space="0" w:color="auto"/>
              <w:bottom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253" w:right="0"/>
              <w:jc w:val="left"/>
              <w:rPr>
                <w:rFonts w:ascii="楷体" w:hAnsi="楷体" w:cs="楷体" w:eastAsia="楷体"/>
                <w:sz w:val="21"/>
                <w:szCs w:val="21"/>
              </w:rPr>
            </w:pPr>
            <w:r>
              <w:rPr>
                <w:rFonts w:ascii="楷体" w:hAnsi="楷体" w:cs="楷体" w:eastAsia="楷体"/>
                <w:sz w:val="21"/>
                <w:szCs w:val="21"/>
              </w:rPr>
              <w:t>业单位</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259" w:right="0"/>
              <w:jc w:val="left"/>
              <w:rPr>
                <w:rFonts w:ascii="楷体" w:hAnsi="楷体" w:cs="楷体" w:eastAsia="楷体"/>
                <w:sz w:val="21"/>
                <w:szCs w:val="21"/>
              </w:rPr>
            </w:pPr>
            <w:r>
              <w:rPr>
                <w:rFonts w:ascii="楷体" w:hAnsi="楷体" w:cs="楷体" w:eastAsia="楷体"/>
                <w:sz w:val="21"/>
                <w:szCs w:val="21"/>
              </w:rPr>
              <w:t>业单位</w:t>
            </w:r>
          </w:p>
        </w:tc>
        <w:tc>
          <w:tcPr>
            <w:tcW w:w="735" w:type="dxa"/>
            <w:vMerge/>
            <w:tcBorders>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28" w:hRule="exact"/>
        </w:trPr>
        <w:tc>
          <w:tcPr>
            <w:tcW w:w="555" w:type="dxa"/>
            <w:vMerge/>
            <w:tcBorders>
              <w:left w:val="single" w:sz="4" w:space="0" w:color="000000"/>
              <w:right w:val="single" w:sz="4" w:space="0" w:color="000000"/>
            </w:tcBorders>
          </w:tcPr>
          <w:p>
            <w:pPr/>
          </w:p>
        </w:tc>
        <w:tc>
          <w:tcPr>
            <w:tcW w:w="739" w:type="dxa"/>
            <w:vMerge w:val="restart"/>
            <w:tcBorders>
              <w:top w:val="nil" w:sz="6" w:space="0" w:color="auto"/>
              <w:left w:val="single" w:sz="4" w:space="0" w:color="000000"/>
              <w:right w:val="single" w:sz="4" w:space="0" w:color="000000"/>
            </w:tcBorders>
          </w:tcPr>
          <w:p>
            <w:pPr>
              <w:pStyle w:val="TableParagraph"/>
              <w:spacing w:line="219" w:lineRule="exact"/>
              <w:ind w:left="154" w:right="0"/>
              <w:jc w:val="left"/>
              <w:rPr>
                <w:rFonts w:ascii="楷体" w:hAnsi="楷体" w:cs="楷体" w:eastAsia="楷体"/>
                <w:sz w:val="21"/>
                <w:szCs w:val="21"/>
              </w:rPr>
            </w:pPr>
            <w:r>
              <w:rPr>
                <w:rFonts w:ascii="楷体" w:hAnsi="楷体" w:cs="楷体" w:eastAsia="楷体"/>
                <w:sz w:val="21"/>
                <w:szCs w:val="21"/>
              </w:rPr>
              <w:t>生数</w:t>
            </w:r>
          </w:p>
        </w:tc>
        <w:tc>
          <w:tcPr>
            <w:tcW w:w="855" w:type="dxa"/>
            <w:vMerge/>
            <w:tcBorders>
              <w:left w:val="single" w:sz="4" w:space="0" w:color="000000"/>
              <w:right w:val="single" w:sz="4" w:space="0" w:color="000000"/>
            </w:tcBorders>
          </w:tcPr>
          <w:p>
            <w:pPr/>
          </w:p>
        </w:tc>
        <w:tc>
          <w:tcPr>
            <w:tcW w:w="765" w:type="dxa"/>
            <w:vMerge w:val="restart"/>
            <w:tcBorders>
              <w:top w:val="nil" w:sz="6" w:space="0" w:color="auto"/>
              <w:left w:val="single" w:sz="4" w:space="0" w:color="000000"/>
              <w:right w:val="single" w:sz="4" w:space="0" w:color="000000"/>
            </w:tcBorders>
          </w:tcPr>
          <w:p>
            <w:pPr>
              <w:pStyle w:val="TableParagraph"/>
              <w:spacing w:line="219" w:lineRule="exact"/>
              <w:ind w:left="168" w:right="0"/>
              <w:jc w:val="left"/>
              <w:rPr>
                <w:rFonts w:ascii="楷体" w:hAnsi="楷体" w:cs="楷体" w:eastAsia="楷体"/>
                <w:sz w:val="21"/>
                <w:szCs w:val="21"/>
              </w:rPr>
            </w:pPr>
            <w:r>
              <w:rPr>
                <w:rFonts w:ascii="楷体" w:hAnsi="楷体" w:cs="楷体" w:eastAsia="楷体"/>
                <w:sz w:val="21"/>
                <w:szCs w:val="21"/>
              </w:rPr>
              <w:t>位率</w:t>
            </w: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283" w:right="0"/>
              <w:jc w:val="left"/>
              <w:rPr>
                <w:rFonts w:ascii="楷体" w:hAnsi="楷体" w:cs="楷体" w:eastAsia="楷体"/>
                <w:sz w:val="21"/>
                <w:szCs w:val="21"/>
              </w:rPr>
            </w:pPr>
            <w:r>
              <w:rPr>
                <w:rFonts w:ascii="楷体" w:hAnsi="楷体" w:cs="楷体" w:eastAsia="楷体"/>
                <w:sz w:val="21"/>
                <w:szCs w:val="21"/>
              </w:rPr>
              <w:t>业率</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tcBorders>
              <w:top w:val="nil" w:sz="6" w:space="0" w:color="auto"/>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tcBorders>
              <w:top w:val="nil" w:sz="6" w:space="0" w:color="auto"/>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360"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val="restart"/>
            <w:tcBorders>
              <w:top w:val="nil" w:sz="6" w:space="0" w:color="auto"/>
              <w:left w:val="single" w:sz="4" w:space="0" w:color="000000"/>
              <w:right w:val="nil" w:sz="6" w:space="0" w:color="auto"/>
            </w:tcBorders>
          </w:tcPr>
          <w:p>
            <w:pPr>
              <w:pStyle w:val="TableParagraph"/>
              <w:spacing w:line="219" w:lineRule="exact"/>
              <w:ind w:left="226" w:right="0"/>
              <w:jc w:val="left"/>
              <w:rPr>
                <w:rFonts w:ascii="楷体" w:hAnsi="楷体" w:cs="楷体" w:eastAsia="楷体"/>
                <w:sz w:val="21"/>
                <w:szCs w:val="21"/>
              </w:rPr>
            </w:pPr>
            <w:r>
              <w:rPr>
                <w:rFonts w:ascii="楷体" w:hAnsi="楷体" w:cs="楷体" w:eastAsia="楷体"/>
                <w:sz w:val="21"/>
                <w:szCs w:val="21"/>
              </w:rPr>
              <w:t>书率</w:t>
            </w:r>
          </w:p>
        </w:tc>
        <w:tc>
          <w:tcPr>
            <w:tcW w:w="935" w:type="dxa"/>
            <w:vMerge w:val="restart"/>
            <w:tcBorders>
              <w:top w:val="nil" w:sz="6" w:space="0" w:color="auto"/>
              <w:left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148" w:right="0"/>
              <w:jc w:val="left"/>
              <w:rPr>
                <w:rFonts w:ascii="楷体" w:hAnsi="楷体" w:cs="楷体" w:eastAsia="楷体"/>
                <w:sz w:val="21"/>
                <w:szCs w:val="21"/>
              </w:rPr>
            </w:pPr>
            <w:r>
              <w:rPr>
                <w:rFonts w:ascii="楷体" w:hAnsi="楷体" w:cs="楷体" w:eastAsia="楷体"/>
                <w:sz w:val="21"/>
                <w:szCs w:val="21"/>
              </w:rPr>
              <w:t>（教育部</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153" w:right="0"/>
              <w:jc w:val="left"/>
              <w:rPr>
                <w:rFonts w:ascii="楷体" w:hAnsi="楷体" w:cs="楷体" w:eastAsia="楷体"/>
                <w:sz w:val="21"/>
                <w:szCs w:val="21"/>
              </w:rPr>
            </w:pPr>
            <w:r>
              <w:rPr>
                <w:rFonts w:ascii="楷体" w:hAnsi="楷体" w:cs="楷体" w:eastAsia="楷体"/>
                <w:sz w:val="21"/>
                <w:szCs w:val="21"/>
              </w:rPr>
              <w:t>（非教育</w:t>
            </w:r>
          </w:p>
        </w:tc>
        <w:tc>
          <w:tcPr>
            <w:tcW w:w="735" w:type="dxa"/>
            <w:vMerge w:val="restart"/>
            <w:tcBorders>
              <w:top w:val="nil" w:sz="6" w:space="0" w:color="auto"/>
              <w:left w:val="single" w:sz="4" w:space="0" w:color="000000"/>
              <w:right w:val="single" w:sz="4" w:space="0" w:color="000000"/>
            </w:tcBorders>
          </w:tcPr>
          <w:p>
            <w:pPr>
              <w:pStyle w:val="TableParagraph"/>
              <w:spacing w:line="231" w:lineRule="exact"/>
              <w:ind w:left="152" w:right="0"/>
              <w:jc w:val="left"/>
              <w:rPr>
                <w:rFonts w:ascii="楷体" w:hAnsi="楷体" w:cs="楷体" w:eastAsia="楷体"/>
                <w:sz w:val="21"/>
                <w:szCs w:val="21"/>
              </w:rPr>
            </w:pPr>
            <w:r>
              <w:rPr>
                <w:rFonts w:ascii="楷体" w:hAnsi="楷体" w:cs="楷体" w:eastAsia="楷体"/>
                <w:sz w:val="21"/>
                <w:szCs w:val="21"/>
              </w:rPr>
              <w:t>企业</w:t>
            </w:r>
          </w:p>
        </w:tc>
        <w:tc>
          <w:tcPr>
            <w:tcW w:w="590" w:type="dxa"/>
            <w:vMerge/>
            <w:tcBorders>
              <w:left w:val="single" w:sz="4" w:space="0" w:color="000000"/>
              <w:right w:val="single" w:sz="4" w:space="0" w:color="000000"/>
            </w:tcBorders>
          </w:tcPr>
          <w:p>
            <w:pPr/>
          </w:p>
        </w:tc>
        <w:tc>
          <w:tcPr>
            <w:tcW w:w="827" w:type="dxa"/>
            <w:vMerge w:val="restart"/>
            <w:tcBorders>
              <w:top w:val="nil" w:sz="6" w:space="0" w:color="auto"/>
              <w:left w:val="single" w:sz="4" w:space="0" w:color="000000"/>
              <w:right w:val="single" w:sz="4" w:space="0" w:color="000000"/>
            </w:tcBorders>
          </w:tcPr>
          <w:p>
            <w:pPr>
              <w:pStyle w:val="TableParagraph"/>
              <w:spacing w:line="231" w:lineRule="exact"/>
              <w:ind w:left="198" w:right="0"/>
              <w:jc w:val="left"/>
              <w:rPr>
                <w:rFonts w:ascii="楷体" w:hAnsi="楷体" w:cs="楷体" w:eastAsia="楷体"/>
                <w:sz w:val="21"/>
                <w:szCs w:val="21"/>
              </w:rPr>
            </w:pPr>
            <w:r>
              <w:rPr>
                <w:rFonts w:ascii="楷体" w:hAnsi="楷体" w:cs="楷体" w:eastAsia="楷体"/>
                <w:sz w:val="21"/>
                <w:szCs w:val="21"/>
              </w:rPr>
              <w:t>企业</w:t>
            </w: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472"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829" w:type="dxa"/>
            <w:vMerge/>
            <w:tcBorders>
              <w:left w:val="single" w:sz="4" w:space="0" w:color="000000"/>
              <w:bottom w:val="single" w:sz="4" w:space="0" w:color="000000"/>
              <w:right w:val="nil" w:sz="6" w:space="0" w:color="auto"/>
            </w:tcBorders>
          </w:tcPr>
          <w:p>
            <w:pPr/>
          </w:p>
        </w:tc>
        <w:tc>
          <w:tcPr>
            <w:tcW w:w="935" w:type="dxa"/>
            <w:vMerge/>
            <w:tcBorders>
              <w:left w:val="nil" w:sz="6" w:space="0" w:color="auto"/>
              <w:bottom w:val="single" w:sz="4" w:space="0" w:color="000000"/>
              <w:right w:val="single" w:sz="4" w:space="0" w:color="000000"/>
            </w:tcBorders>
          </w:tcPr>
          <w:p>
            <w:pPr/>
          </w:p>
        </w:tc>
        <w:tc>
          <w:tcPr>
            <w:tcW w:w="623" w:type="dxa"/>
            <w:vMerge/>
            <w:tcBorders>
              <w:left w:val="single" w:sz="4" w:space="0" w:color="000000"/>
              <w:bottom w:val="single" w:sz="4" w:space="0" w:color="000000"/>
              <w:right w:val="single" w:sz="4" w:space="0" w:color="000000"/>
            </w:tcBorders>
          </w:tcPr>
          <w:p>
            <w:pPr/>
          </w:p>
        </w:tc>
        <w:tc>
          <w:tcPr>
            <w:tcW w:w="1144" w:type="dxa"/>
            <w:tcBorders>
              <w:top w:val="nil" w:sz="6" w:space="0" w:color="auto"/>
              <w:left w:val="single" w:sz="4" w:space="0" w:color="000000"/>
              <w:bottom w:val="single" w:sz="4" w:space="0" w:color="000000"/>
              <w:right w:val="nil" w:sz="6" w:space="0" w:color="auto"/>
            </w:tcBorders>
          </w:tcPr>
          <w:p>
            <w:pPr>
              <w:pStyle w:val="TableParagraph"/>
              <w:spacing w:line="240" w:lineRule="auto" w:before="64"/>
              <w:ind w:left="357" w:right="0"/>
              <w:jc w:val="left"/>
              <w:rPr>
                <w:rFonts w:ascii="楷体" w:hAnsi="楷体" w:cs="楷体" w:eastAsia="楷体"/>
                <w:sz w:val="21"/>
                <w:szCs w:val="21"/>
              </w:rPr>
            </w:pPr>
            <w:r>
              <w:rPr>
                <w:rFonts w:ascii="楷体" w:hAnsi="楷体" w:cs="楷体" w:eastAsia="楷体"/>
                <w:sz w:val="21"/>
                <w:szCs w:val="21"/>
              </w:rPr>
              <w:t>门）</w:t>
            </w:r>
          </w:p>
        </w:tc>
        <w:tc>
          <w:tcPr>
            <w:tcW w:w="1148" w:type="dxa"/>
            <w:tcBorders>
              <w:top w:val="nil" w:sz="6" w:space="0" w:color="auto"/>
              <w:left w:val="nil" w:sz="6" w:space="0" w:color="auto"/>
              <w:bottom w:val="single" w:sz="4" w:space="0" w:color="000000"/>
              <w:right w:val="single" w:sz="4" w:space="0" w:color="000000"/>
            </w:tcBorders>
          </w:tcPr>
          <w:p>
            <w:pPr>
              <w:pStyle w:val="TableParagraph"/>
              <w:spacing w:line="240" w:lineRule="auto" w:before="64"/>
              <w:ind w:left="259" w:right="0"/>
              <w:jc w:val="left"/>
              <w:rPr>
                <w:rFonts w:ascii="楷体" w:hAnsi="楷体" w:cs="楷体" w:eastAsia="楷体"/>
                <w:sz w:val="21"/>
                <w:szCs w:val="21"/>
              </w:rPr>
            </w:pPr>
            <w:r>
              <w:rPr>
                <w:rFonts w:ascii="楷体" w:hAnsi="楷体" w:cs="楷体" w:eastAsia="楷体"/>
                <w:sz w:val="21"/>
                <w:szCs w:val="21"/>
              </w:rPr>
              <w:t>部门）</w:t>
            </w:r>
          </w:p>
        </w:tc>
        <w:tc>
          <w:tcPr>
            <w:tcW w:w="735"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c>
          <w:tcPr>
            <w:tcW w:w="827" w:type="dxa"/>
            <w:vMerge/>
            <w:tcBorders>
              <w:left w:val="single" w:sz="4" w:space="0" w:color="000000"/>
              <w:bottom w:val="single" w:sz="4" w:space="0" w:color="000000"/>
              <w:right w:val="single" w:sz="4" w:space="0" w:color="000000"/>
            </w:tcBorders>
          </w:tcPr>
          <w:p>
            <w:pPr/>
          </w:p>
        </w:tc>
        <w:tc>
          <w:tcPr>
            <w:tcW w:w="549"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gridSpan w:val="2"/>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gridSpan w:val="2"/>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3"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3"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9" w:lineRule="exact"/>
        <w:ind w:left="1240" w:right="0"/>
        <w:jc w:val="left"/>
        <w:rPr>
          <w:rFonts w:ascii="微软雅黑" w:hAnsi="微软雅黑" w:cs="微软雅黑" w:eastAsia="微软雅黑"/>
        </w:rPr>
      </w:pPr>
      <w:r>
        <w:rPr>
          <w:rFonts w:ascii="微软雅黑" w:hAnsi="微软雅黑" w:cs="微软雅黑" w:eastAsia="微软雅黑"/>
        </w:rPr>
        <w:t>8.6 [社会声誉]</w:t>
      </w:r>
      <w:r>
        <w:rPr>
          <w:rFonts w:ascii="微软雅黑" w:hAnsi="微软雅黑" w:cs="微软雅黑" w:eastAsia="微软雅黑"/>
          <w:spacing w:val="45"/>
        </w:rPr>
        <w:t> </w:t>
      </w:r>
      <w:r>
        <w:rPr>
          <w:rFonts w:ascii="微软雅黑" w:hAnsi="微软雅黑" w:cs="微软雅黑" w:eastAsia="微软雅黑"/>
        </w:rPr>
        <w:t>毕业生社会声誉好，用人单位满意度高。</w:t>
      </w:r>
    </w:p>
    <w:p>
      <w:pPr>
        <w:pStyle w:val="BodyText"/>
        <w:spacing w:line="424" w:lineRule="auto" w:before="142"/>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pStyle w:val="BodyText"/>
        <w:spacing w:line="240" w:lineRule="auto" w:before="75"/>
        <w:ind w:left="1240" w:right="0"/>
        <w:jc w:val="left"/>
        <w:rPr>
          <w:rFonts w:ascii="微软雅黑" w:hAnsi="微软雅黑" w:cs="微软雅黑" w:eastAsia="微软雅黑"/>
        </w:rPr>
      </w:pPr>
      <w:r>
        <w:rPr>
          <w:rFonts w:ascii="微软雅黑" w:hAnsi="微软雅黑" w:cs="微软雅黑" w:eastAsia="微软雅黑"/>
        </w:rPr>
        <w:t>8.7 [持续支持] 对毕业生进行跟踪服务，了解毕业生专业发展需求，为毕业生提供 持续学习的机会和平台。</w:t>
      </w:r>
    </w:p>
    <w:p>
      <w:pPr>
        <w:pStyle w:val="BodyText"/>
        <w:spacing w:line="240" w:lineRule="auto" w:before="142"/>
        <w:ind w:left="1240" w:right="0"/>
        <w:jc w:val="left"/>
      </w:pPr>
      <w:r>
        <w:rPr/>
        <w:t>①描述说明专业建立持续支持毕业生的服务机制的情况及其实效。</w:t>
      </w:r>
    </w:p>
    <w:p>
      <w:pPr>
        <w:spacing w:line="240" w:lineRule="auto" w:before="8"/>
        <w:rPr>
          <w:rFonts w:ascii="华文楷体" w:hAnsi="华文楷体" w:cs="华文楷体" w:eastAsia="华文楷体"/>
          <w:sz w:val="18"/>
          <w:szCs w:val="18"/>
        </w:rPr>
      </w:pPr>
    </w:p>
    <w:p>
      <w:pPr>
        <w:pStyle w:val="BodyText"/>
        <w:spacing w:line="240" w:lineRule="auto"/>
        <w:ind w:left="1240" w:right="0"/>
        <w:jc w:val="left"/>
      </w:pPr>
      <w:r>
        <w:rPr/>
        <w:t>②列表说明专业近三年开展的支持毕业生专业发展需求的服务活动及其实效。</w:t>
      </w:r>
    </w:p>
    <w:p>
      <w:pPr>
        <w:spacing w:line="240" w:lineRule="auto" w:before="6"/>
        <w:rPr>
          <w:rFonts w:ascii="华文楷体" w:hAnsi="华文楷体" w:cs="华文楷体" w:eastAsia="华文楷体"/>
          <w:sz w:val="26"/>
          <w:szCs w:val="26"/>
        </w:rPr>
      </w:pPr>
    </w:p>
    <w:p>
      <w:pPr>
        <w:pStyle w:val="Heading5"/>
        <w:spacing w:line="240" w:lineRule="auto"/>
        <w:ind w:left="1240" w:right="0"/>
        <w:jc w:val="left"/>
        <w:rPr>
          <w:b w:val="0"/>
          <w:bCs w:val="0"/>
        </w:rPr>
      </w:pPr>
      <w:bookmarkStart w:name="第二部分：主要问题" w:id="101"/>
      <w:bookmarkEnd w:id="101"/>
      <w:r>
        <w:rPr>
          <w:b w:val="0"/>
          <w:bCs w:val="0"/>
        </w:rPr>
      </w:r>
      <w:bookmarkStart w:name="_bookmark31" w:id="102"/>
      <w:bookmarkEnd w:id="102"/>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4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after="0" w:line="273" w:lineRule="auto"/>
        <w:jc w:val="left"/>
        <w:rPr>
          <w:rFonts w:ascii="楷体" w:hAnsi="楷体" w:cs="楷体" w:eastAsia="楷体"/>
          <w:sz w:val="21"/>
          <w:szCs w:val="21"/>
        </w:rPr>
        <w:sectPr>
          <w:pgSz w:w="12240" w:h="15840"/>
          <w:pgMar w:header="773" w:footer="680" w:top="960" w:bottom="880" w:left="560" w:right="560"/>
        </w:sect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24"/>
          <w:szCs w:val="24"/>
        </w:rPr>
      </w:pPr>
    </w:p>
    <w:p>
      <w:pPr>
        <w:pStyle w:val="Heading5"/>
        <w:spacing w:line="355" w:lineRule="exact"/>
        <w:ind w:left="220" w:right="0"/>
        <w:jc w:val="left"/>
        <w:rPr>
          <w:b w:val="0"/>
          <w:bCs w:val="0"/>
        </w:rPr>
      </w:pPr>
      <w:bookmarkStart w:name="第三部分：改进措施" w:id="103"/>
      <w:bookmarkEnd w:id="103"/>
      <w:r>
        <w:rPr>
          <w:b w:val="0"/>
          <w:bCs w:val="0"/>
        </w:rPr>
      </w:r>
      <w:bookmarkStart w:name="_bookmark32" w:id="104"/>
      <w:bookmarkEnd w:id="104"/>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8"/>
        <w:rPr>
          <w:rFonts w:ascii="楷体" w:hAnsi="楷体" w:cs="楷体" w:eastAsia="楷体"/>
          <w:sz w:val="14"/>
          <w:szCs w:val="14"/>
        </w:rPr>
      </w:pPr>
    </w:p>
    <w:p>
      <w:pPr>
        <w:pStyle w:val="Heading4"/>
        <w:spacing w:line="240" w:lineRule="auto"/>
        <w:ind w:left="220" w:right="0"/>
        <w:jc w:val="left"/>
        <w:rPr>
          <w:b w:val="0"/>
          <w:bCs w:val="0"/>
        </w:rPr>
      </w:pPr>
      <w:bookmarkStart w:name="附录 支撑材料清单" w:id="105"/>
      <w:bookmarkEnd w:id="105"/>
      <w:r>
        <w:rPr>
          <w:b w:val="0"/>
          <w:bCs w:val="0"/>
        </w:rPr>
      </w:r>
      <w:bookmarkStart w:name="_bookmark33" w:id="106"/>
      <w:bookmarkEnd w:id="106"/>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6"/>
              <w:ind w:right="0"/>
              <w:jc w:val="left"/>
              <w:rPr>
                <w:rFonts w:ascii="微软雅黑" w:hAnsi="微软雅黑" w:cs="微软雅黑" w:eastAsia="微软雅黑"/>
                <w:b/>
                <w:bCs/>
                <w:sz w:val="22"/>
                <w:szCs w:val="2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2.9</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2.10</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5"/>
              <w:ind w:right="0"/>
              <w:jc w:val="left"/>
              <w:rPr>
                <w:rFonts w:ascii="微软雅黑" w:hAnsi="微软雅黑" w:cs="微软雅黑" w:eastAsia="微软雅黑"/>
                <w:b/>
                <w:bCs/>
                <w:sz w:val="12"/>
                <w:szCs w:val="12"/>
              </w:rPr>
            </w:pPr>
          </w:p>
          <w:p>
            <w:pPr>
              <w:pStyle w:val="TableParagraph"/>
              <w:spacing w:line="295"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5"/>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7"/>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header="773" w:footer="680" w:top="960" w:bottom="88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7"/>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27"/>
                <w:szCs w:val="27"/>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8.7</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33"/>
          <w:pgSz w:w="12240" w:h="15840"/>
          <w:pgMar w:header="773" w:footer="680" w:top="960" w:bottom="860" w:left="1580" w:right="1580"/>
        </w:sectPr>
      </w:pPr>
    </w:p>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29"/>
          <w:szCs w:val="29"/>
        </w:rPr>
      </w:pPr>
    </w:p>
    <w:p>
      <w:pPr>
        <w:spacing w:line="621" w:lineRule="exact" w:before="0"/>
        <w:ind w:left="1041" w:right="1039" w:firstLine="0"/>
        <w:jc w:val="center"/>
        <w:rPr>
          <w:rFonts w:ascii="黑体" w:hAnsi="黑体" w:cs="黑体" w:eastAsia="黑体"/>
          <w:sz w:val="52"/>
          <w:szCs w:val="52"/>
        </w:rPr>
      </w:pPr>
      <w:r>
        <w:rPr>
          <w:rFonts w:ascii="黑体" w:hAnsi="黑体" w:cs="黑体" w:eastAsia="黑体"/>
          <w:sz w:val="52"/>
          <w:szCs w:val="52"/>
        </w:rPr>
        <w:t>普通高等学校师范类专业认证</w:t>
      </w:r>
    </w:p>
    <w:p>
      <w:pPr>
        <w:spacing w:before="411"/>
        <w:ind w:left="1039" w:right="1039" w:firstLine="0"/>
        <w:jc w:val="center"/>
        <w:rPr>
          <w:rFonts w:ascii="黑体" w:hAnsi="黑体" w:cs="黑体" w:eastAsia="黑体"/>
          <w:sz w:val="52"/>
          <w:szCs w:val="52"/>
        </w:rPr>
      </w:pPr>
      <w:bookmarkStart w:name="（小学教育第二级）" w:id="107"/>
      <w:bookmarkEnd w:id="107"/>
      <w:r>
        <w:rPr/>
      </w:r>
      <w:r>
        <w:rPr>
          <w:rFonts w:ascii="黑体" w:hAnsi="黑体" w:cs="黑体" w:eastAsia="黑体"/>
          <w:sz w:val="52"/>
          <w:szCs w:val="52"/>
        </w:rPr>
        <w:t>（小学教育第二级）</w:t>
      </w:r>
    </w:p>
    <w:p>
      <w:pPr>
        <w:spacing w:before="250"/>
        <w:ind w:left="1039" w:right="1039" w:firstLine="0"/>
        <w:jc w:val="center"/>
        <w:rPr>
          <w:rFonts w:ascii="黑体" w:hAnsi="黑体" w:cs="黑体" w:eastAsia="黑体"/>
          <w:sz w:val="72"/>
          <w:szCs w:val="72"/>
        </w:rPr>
      </w:pPr>
      <w:bookmarkStart w:name="自评报告" w:id="108"/>
      <w:bookmarkEnd w:id="108"/>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spacing w:line="511" w:lineRule="auto" w:before="0"/>
        <w:ind w:left="1514" w:right="5699" w:firstLine="0"/>
        <w:jc w:val="left"/>
        <w:rPr>
          <w:rFonts w:ascii="黑体" w:hAnsi="黑体" w:cs="黑体" w:eastAsia="黑体"/>
          <w:sz w:val="28"/>
          <w:szCs w:val="28"/>
        </w:rPr>
      </w:pPr>
      <w:r>
        <w:rPr>
          <w:rFonts w:ascii="黑体" w:hAnsi="黑体" w:cs="黑体" w:eastAsia="黑体"/>
          <w:b/>
          <w:bCs/>
          <w:sz w:val="28"/>
          <w:szCs w:val="28"/>
        </w:rPr>
        <w:t>学校：</w:t>
      </w:r>
      <w:r>
        <w:rPr>
          <w:rFonts w:ascii="黑体" w:hAnsi="黑体" w:cs="黑体" w:eastAsia="黑体"/>
          <w:b/>
          <w:bCs/>
          <w:w w:val="99"/>
          <w:sz w:val="28"/>
          <w:szCs w:val="28"/>
        </w:rPr>
        <w:t> </w:t>
      </w:r>
      <w:r>
        <w:rPr>
          <w:rFonts w:ascii="黑体" w:hAnsi="黑体" w:cs="黑体" w:eastAsia="黑体"/>
          <w:b/>
          <w:bCs/>
          <w:sz w:val="28"/>
          <w:szCs w:val="28"/>
        </w:rPr>
        <w:t>专业：</w:t>
      </w:r>
      <w:r>
        <w:rPr>
          <w:rFonts w:ascii="黑体" w:hAnsi="黑体" w:cs="黑体" w:eastAsia="黑体"/>
          <w:b/>
          <w:bCs/>
          <w:w w:val="99"/>
          <w:sz w:val="28"/>
          <w:szCs w:val="28"/>
        </w:rPr>
        <w:t> </w:t>
      </w:r>
      <w:r>
        <w:rPr>
          <w:rFonts w:ascii="黑体" w:hAnsi="黑体" w:cs="黑体" w:eastAsia="黑体"/>
          <w:b/>
          <w:bCs/>
          <w:w w:val="95"/>
          <w:sz w:val="28"/>
          <w:szCs w:val="28"/>
        </w:rPr>
        <w:t>完成时间：</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w w:val="95"/>
          <w:sz w:val="28"/>
          <w:szCs w:val="28"/>
        </w:rPr>
        <w:t>联系电话：</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sz w:val="28"/>
          <w:szCs w:val="28"/>
        </w:rPr>
        <w:t>电子邮件</w:t>
      </w:r>
      <w:r>
        <w:rPr>
          <w:rFonts w:ascii="黑体" w:hAnsi="黑体" w:cs="黑体" w:eastAsia="黑体"/>
          <w:sz w:val="28"/>
          <w:szCs w:val="28"/>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headerReference w:type="default" r:id="rId34"/>
          <w:footerReference w:type="default" r:id="rId35"/>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headerReference w:type="default" r:id="rId36"/>
          <w:footerReference w:type="default" r:id="rId37"/>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headerReference w:type="default" r:id="rId38"/>
          <w:footerReference w:type="default" r:id="rId39"/>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109"/>
      <w:bookmarkEnd w:id="109"/>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110"/>
      <w:bookmarkEnd w:id="110"/>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111"/>
      <w:bookmarkEnd w:id="111"/>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5"/>
        <w:jc w:val="both"/>
        <w:rPr>
          <w:rFonts w:ascii="微软雅黑" w:hAnsi="微软雅黑" w:cs="微软雅黑" w:eastAsia="微软雅黑"/>
        </w:rPr>
      </w:pPr>
      <w:r>
        <w:rPr>
          <w:rFonts w:ascii="微软雅黑" w:hAnsi="微软雅黑" w:cs="微软雅黑" w:eastAsia="微软雅黑"/>
        </w:rPr>
        <w:t>1.1 [目标定位] 培养目标应贯彻党的教育方针，面向国家、地区基础教育改革发展 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40"/>
          <w:pgSz w:w="12240" w:h="15840"/>
          <w:pgMar w:footer="700" w:header="773" w:top="960" w:bottom="88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0"/>
        <w:rPr>
          <w:rFonts w:ascii="华文楷体" w:hAnsi="华文楷体" w:cs="华文楷体" w:eastAsia="华文楷体"/>
          <w:sz w:val="24"/>
          <w:szCs w:val="24"/>
        </w:rPr>
      </w:pPr>
    </w:p>
    <w:p>
      <w:pPr>
        <w:spacing w:line="240" w:lineRule="auto" w:before="11"/>
        <w:rPr>
          <w:rFonts w:ascii="华文楷体" w:hAnsi="华文楷体" w:cs="华文楷体" w:eastAsia="华文楷体"/>
          <w:sz w:val="16"/>
          <w:szCs w:val="16"/>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 [目标内涵] 培养目标内容明确清晰，反映师范生毕业后 5</w:t>
      </w:r>
      <w:r>
        <w:rPr>
          <w:rFonts w:ascii="微软雅黑" w:hAnsi="微软雅黑" w:cs="微软雅黑" w:eastAsia="微软雅黑"/>
          <w:spacing w:val="-38"/>
        </w:rPr>
        <w:t> </w:t>
      </w:r>
      <w:r>
        <w:rPr>
          <w:rFonts w:ascii="微软雅黑" w:hAnsi="微软雅黑" w:cs="微软雅黑" w:eastAsia="微软雅黑"/>
        </w:rPr>
        <w:t>年左右在社会和专业</w:t>
      </w:r>
      <w:r>
        <w:rPr>
          <w:rFonts w:ascii="微软雅黑" w:hAnsi="微软雅黑" w:cs="微软雅黑" w:eastAsia="微软雅黑"/>
        </w:rPr>
        <w:t> 领域的发展预期，体现专业特色，并能够为师范生、教师、教学管理人员及其他利 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③描述并举证说明专业采取多种途径让培养目标能够为本专业师范生、教师、教学 管理人员及其他利益相关方接受、认同。</w:t>
      </w:r>
    </w:p>
    <w:p>
      <w:pPr>
        <w:spacing w:line="240" w:lineRule="auto" w:before="6"/>
        <w:rPr>
          <w:rFonts w:ascii="华文楷体" w:hAnsi="华文楷体" w:cs="华文楷体" w:eastAsia="华文楷体"/>
          <w:sz w:val="26"/>
          <w:szCs w:val="26"/>
        </w:rPr>
      </w:pPr>
    </w:p>
    <w:p>
      <w:pPr>
        <w:pStyle w:val="BodyText"/>
        <w:spacing w:line="240" w:lineRule="auto"/>
        <w:ind w:right="355"/>
        <w:jc w:val="both"/>
        <w:rPr>
          <w:rFonts w:ascii="微软雅黑" w:hAnsi="微软雅黑" w:cs="微软雅黑" w:eastAsia="微软雅黑"/>
        </w:rPr>
      </w:pPr>
      <w:r>
        <w:rPr>
          <w:rFonts w:ascii="微软雅黑" w:hAnsi="微软雅黑" w:cs="微软雅黑" w:eastAsia="微软雅黑"/>
        </w:rPr>
        <w:t>1.3 [目标评价] 定期对培养目标的合理性进行评价，并能够根据评价结果对培养目 标进行必要修订。评价和修订过程应有利益相关方参与。</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pStyle w:val="BodyText"/>
        <w:spacing w:line="424" w:lineRule="auto" w:before="185"/>
        <w:ind w:right="359"/>
        <w:jc w:val="both"/>
      </w:pPr>
      <w:r>
        <w:rPr/>
        <w:t>③描述说明师范生、教师、教学管理人员和用人单位及其他利益相关方参与专业培 养目标评价和修订过程情况。</w:t>
      </w:r>
    </w:p>
    <w:p>
      <w:pPr>
        <w:spacing w:after="0" w:line="424" w:lineRule="auto"/>
        <w:jc w:val="both"/>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right="35"/>
        <w:jc w:val="left"/>
        <w:rPr>
          <w:b w:val="0"/>
          <w:bCs w:val="0"/>
        </w:rPr>
      </w:pPr>
      <w:bookmarkStart w:name="第二部分：主要问题" w:id="112"/>
      <w:bookmarkEnd w:id="112"/>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35"/>
        <w:jc w:val="left"/>
        <w:rPr>
          <w:b w:val="0"/>
          <w:bCs w:val="0"/>
        </w:rPr>
      </w:pPr>
      <w:bookmarkStart w:name="第三部分：改进措施" w:id="113"/>
      <w:bookmarkEnd w:id="113"/>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35"/>
        <w:jc w:val="left"/>
        <w:rPr>
          <w:b w:val="0"/>
          <w:bCs w:val="0"/>
        </w:rPr>
      </w:pPr>
      <w:bookmarkStart w:name="标准2毕业要求" w:id="114"/>
      <w:bookmarkEnd w:id="114"/>
      <w:r>
        <w:rPr>
          <w:b w:val="0"/>
          <w:bCs w:val="0"/>
        </w:rPr>
      </w:r>
      <w:r>
        <w:rPr/>
        <w:t>标准 2</w:t>
      </w:r>
      <w:r>
        <w:rPr>
          <w:spacing w:val="-32"/>
        </w:rPr>
        <w:t> </w:t>
      </w:r>
      <w:r>
        <w:rPr/>
        <w:t>毕业要求</w:t>
      </w:r>
      <w:r>
        <w:rPr>
          <w:b w:val="0"/>
          <w:bCs w:val="0"/>
        </w:rPr>
      </w:r>
    </w:p>
    <w:p>
      <w:pPr>
        <w:spacing w:line="240" w:lineRule="auto" w:before="12"/>
        <w:rPr>
          <w:rFonts w:ascii="微软雅黑" w:hAnsi="微软雅黑" w:cs="微软雅黑" w:eastAsia="微软雅黑"/>
          <w:b/>
          <w:bCs/>
          <w:sz w:val="23"/>
          <w:szCs w:val="23"/>
        </w:rPr>
      </w:pPr>
    </w:p>
    <w:p>
      <w:pPr>
        <w:pStyle w:val="BodyText"/>
        <w:spacing w:line="237" w:lineRule="auto"/>
        <w:ind w:right="239" w:firstLine="480"/>
        <w:jc w:val="both"/>
        <w:rPr>
          <w:rFonts w:ascii="微软雅黑" w:hAnsi="微软雅黑" w:cs="微软雅黑" w:eastAsia="微软雅黑"/>
        </w:rPr>
      </w:pPr>
      <w:r>
        <w:rPr>
          <w:rFonts w:ascii="微软雅黑" w:hAnsi="微软雅黑" w:cs="微软雅黑" w:eastAsia="微软雅黑"/>
        </w:rPr>
        <w:t>专业应根据小学教师专业标准，制定明确、公开的毕业要求。毕业要求能够支 撑培养目标，并在师范生培养全过程中分解落实。专业应通过评价证明毕业要求的 达成。专业制定的毕业要求应涵盖以下内容：</w:t>
      </w:r>
    </w:p>
    <w:p>
      <w:pPr>
        <w:pStyle w:val="BodyText"/>
        <w:tabs>
          <w:tab w:pos="539" w:val="left" w:leader="none"/>
        </w:tabs>
        <w:spacing w:line="411"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践行师德</w:t>
      </w:r>
    </w:p>
    <w:p>
      <w:pPr>
        <w:pStyle w:val="BodyText"/>
        <w:spacing w:line="237" w:lineRule="auto" w:before="1"/>
        <w:ind w:right="235" w:firstLine="480"/>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 同、政治认同、理论认同和情感认同。贯彻党的教育方针，以立德树人为己任。遵 守中小学教师职业道德规范，具有依法执教意识，立志成为有理想信念、有道德情 操、有扎实学识、有仁爱之心的好老师。</w:t>
      </w:r>
    </w:p>
    <w:p>
      <w:pPr>
        <w:pStyle w:val="BodyText"/>
        <w:spacing w:line="237" w:lineRule="auto"/>
        <w:ind w:right="35" w:firstLine="480"/>
        <w:jc w:val="left"/>
        <w:rPr>
          <w:rFonts w:ascii="微软雅黑" w:hAnsi="微软雅黑" w:cs="微软雅黑" w:eastAsia="微软雅黑"/>
        </w:rPr>
      </w:pPr>
      <w:r>
        <w:rPr>
          <w:rFonts w:ascii="微软雅黑" w:hAnsi="微软雅黑" w:cs="微软雅黑" w:eastAsia="微软雅黑"/>
        </w:rPr>
        <w:t>2.2 [教育情怀]</w:t>
      </w:r>
      <w:r>
        <w:rPr>
          <w:rFonts w:ascii="微软雅黑" w:hAnsi="微软雅黑" w:cs="微软雅黑" w:eastAsia="微软雅黑"/>
          <w:spacing w:val="62"/>
        </w:rPr>
        <w:t> </w:t>
      </w:r>
      <w:r>
        <w:rPr>
          <w:rFonts w:ascii="微软雅黑" w:hAnsi="微软雅黑" w:cs="微软雅黑" w:eastAsia="微软雅黑"/>
        </w:rPr>
        <w:t>具有从教意愿，认同教师工作的意义和专业性，具有积极的情</w:t>
      </w:r>
      <w:r>
        <w:rPr>
          <w:rFonts w:ascii="微软雅黑" w:hAnsi="微软雅黑" w:cs="微软雅黑" w:eastAsia="微软雅黑"/>
        </w:rPr>
        <w:t> 感、端正的态度、正确的价值观。具有人文底蕴和科学精神，尊重学生人格，富有 </w:t>
      </w:r>
      <w:r>
        <w:rPr>
          <w:rFonts w:ascii="微软雅黑" w:hAnsi="微软雅黑" w:cs="微软雅黑" w:eastAsia="微软雅黑"/>
          <w:spacing w:val="-4"/>
        </w:rPr>
        <w:t>爱心、责任心、事业心，工作细心、耐心，做学生锤炼品格、学习知识、创新思维、</w:t>
      </w:r>
      <w:r>
        <w:rPr>
          <w:rFonts w:ascii="微软雅黑" w:hAnsi="微软雅黑" w:cs="微软雅黑" w:eastAsia="微软雅黑"/>
          <w:spacing w:val="-41"/>
        </w:rPr>
        <w:t> </w:t>
      </w:r>
      <w:r>
        <w:rPr>
          <w:rFonts w:ascii="微软雅黑" w:hAnsi="微软雅黑" w:cs="微软雅黑" w:eastAsia="微软雅黑"/>
          <w:spacing w:val="-41"/>
        </w:rPr>
      </w:r>
      <w:r>
        <w:rPr>
          <w:rFonts w:ascii="微软雅黑" w:hAnsi="微软雅黑" w:cs="微软雅黑" w:eastAsia="微软雅黑"/>
        </w:rPr>
        <w:t>奉献祖国的引路人。</w:t>
      </w:r>
    </w:p>
    <w:p>
      <w:pPr>
        <w:pStyle w:val="BodyText"/>
        <w:tabs>
          <w:tab w:pos="539" w:val="left" w:leader="none"/>
        </w:tabs>
        <w:spacing w:line="410"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学会教学</w:t>
      </w:r>
    </w:p>
    <w:p>
      <w:pPr>
        <w:pStyle w:val="BodyText"/>
        <w:spacing w:line="237" w:lineRule="auto" w:before="2"/>
        <w:ind w:right="235" w:firstLine="480"/>
        <w:jc w:val="both"/>
        <w:rPr>
          <w:rFonts w:ascii="微软雅黑" w:hAnsi="微软雅黑" w:cs="微软雅黑" w:eastAsia="微软雅黑"/>
        </w:rPr>
      </w:pPr>
      <w:r>
        <w:rPr>
          <w:rFonts w:ascii="微软雅黑" w:hAnsi="微软雅黑" w:cs="微软雅黑" w:eastAsia="微软雅黑"/>
        </w:rPr>
        <w:t>2.3 [学科素养] 具有一定的人文与科学素养。掌握主教学科的基本知识、基本 原理和基本技能，理解学科知识体系基本思想和方法。了解兼教学科的基本知识、 基本原理和技能，并具备一定的其他学科基本知识，对学习科学相关知识有一定的 了解。了解学科整合在小学教育中的价值，了解所教学科与其他学科的联系，以及 与社会实践、小学生生活实践的联系。</w:t>
      </w:r>
    </w:p>
    <w:p>
      <w:pPr>
        <w:spacing w:after="0" w:line="237"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9"/>
        <w:rPr>
          <w:rFonts w:ascii="微软雅黑" w:hAnsi="微软雅黑" w:cs="微软雅黑" w:eastAsia="微软雅黑"/>
          <w:sz w:val="27"/>
          <w:szCs w:val="27"/>
        </w:rPr>
      </w:pPr>
    </w:p>
    <w:p>
      <w:pPr>
        <w:pStyle w:val="BodyText"/>
        <w:spacing w:line="353" w:lineRule="exact"/>
        <w:ind w:right="0" w:firstLine="480"/>
        <w:jc w:val="both"/>
        <w:rPr>
          <w:rFonts w:ascii="微软雅黑" w:hAnsi="微软雅黑" w:cs="微软雅黑" w:eastAsia="微软雅黑"/>
        </w:rPr>
      </w:pPr>
      <w:r>
        <w:rPr>
          <w:rFonts w:ascii="微软雅黑" w:hAnsi="微软雅黑" w:cs="微软雅黑" w:eastAsia="微软雅黑"/>
        </w:rPr>
        <w:t>2.4 [教学能力] </w:t>
      </w:r>
      <w:r>
        <w:rPr>
          <w:rFonts w:ascii="微软雅黑" w:hAnsi="微软雅黑" w:cs="微软雅黑" w:eastAsia="微软雅黑"/>
          <w:spacing w:val="2"/>
        </w:rPr>
        <w:t> </w:t>
      </w:r>
      <w:r>
        <w:rPr>
          <w:rFonts w:ascii="微软雅黑" w:hAnsi="微软雅黑" w:cs="微软雅黑" w:eastAsia="微软雅黑"/>
        </w:rPr>
        <w:t>在教育实践中，能够依据所教学科课程标准，针对小学生身心</w:t>
      </w:r>
    </w:p>
    <w:p>
      <w:pPr>
        <w:pStyle w:val="BodyText"/>
        <w:spacing w:line="412" w:lineRule="exact" w:before="20"/>
        <w:ind w:right="0"/>
        <w:jc w:val="left"/>
        <w:rPr>
          <w:rFonts w:ascii="微软雅黑" w:hAnsi="微软雅黑" w:cs="微软雅黑" w:eastAsia="微软雅黑"/>
        </w:rPr>
      </w:pPr>
      <w:r>
        <w:rPr>
          <w:rFonts w:ascii="微软雅黑" w:hAnsi="微软雅黑" w:cs="微软雅黑" w:eastAsia="微软雅黑"/>
        </w:rPr>
        <w:t>发展和认知特点，运用学科教学知识和信息技术，进行教学设计、实施和评价，获 得教学体验，具备教学基本技能，具有初步的教学能力和一定的教学研究能力。</w:t>
      </w:r>
    </w:p>
    <w:p>
      <w:pPr>
        <w:pStyle w:val="BodyText"/>
        <w:spacing w:line="391"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学会育人</w:t>
      </w:r>
    </w:p>
    <w:p>
      <w:pPr>
        <w:pStyle w:val="BodyText"/>
        <w:spacing w:line="237" w:lineRule="auto" w:before="1"/>
        <w:ind w:right="115" w:firstLine="480"/>
        <w:jc w:val="both"/>
        <w:rPr>
          <w:rFonts w:ascii="微软雅黑" w:hAnsi="微软雅黑" w:cs="微软雅黑" w:eastAsia="微软雅黑"/>
        </w:rPr>
      </w:pPr>
      <w:r>
        <w:rPr>
          <w:rFonts w:ascii="微软雅黑" w:hAnsi="微软雅黑" w:cs="微软雅黑" w:eastAsia="微软雅黑"/>
        </w:rPr>
        <w:t>2.5 [班级指导] 树立德育为先理念，了解小学德育原理与方法。掌握班级组织 与建设的工作规律和基本方法。能够在班主任工作实践中，参与德育和心理健康教 育等教育活动的组织与指导，获得积极体验。</w:t>
      </w:r>
    </w:p>
    <w:p>
      <w:pPr>
        <w:pStyle w:val="BodyText"/>
        <w:spacing w:line="412" w:lineRule="exact" w:before="18"/>
        <w:ind w:right="115" w:firstLine="480"/>
        <w:jc w:val="both"/>
        <w:rPr>
          <w:rFonts w:ascii="微软雅黑" w:hAnsi="微软雅黑" w:cs="微软雅黑" w:eastAsia="微软雅黑"/>
        </w:rPr>
      </w:pPr>
      <w:r>
        <w:rPr>
          <w:rFonts w:ascii="微软雅黑" w:hAnsi="微软雅黑" w:cs="微软雅黑" w:eastAsia="微软雅黑"/>
        </w:rPr>
        <w:t>2.6 [综合育人] 了解小学生身心发展和养成教育规律。理解学科育人价值，能 够有机结合学科教学进行育人活动。了解学校文化和教育活动的育人内涵和方法， 参与组织主题教育、少先队活动和社团活动，促进学生全面、健康发展。</w:t>
      </w:r>
    </w:p>
    <w:p>
      <w:pPr>
        <w:pStyle w:val="BodyText"/>
        <w:spacing w:line="390"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学会发展</w:t>
      </w:r>
    </w:p>
    <w:p>
      <w:pPr>
        <w:pStyle w:val="BodyText"/>
        <w:spacing w:line="237" w:lineRule="auto" w:before="2"/>
        <w:ind w:right="115" w:firstLine="480"/>
        <w:jc w:val="both"/>
        <w:rPr>
          <w:rFonts w:ascii="微软雅黑" w:hAnsi="微软雅黑" w:cs="微软雅黑" w:eastAsia="微软雅黑"/>
        </w:rPr>
      </w:pPr>
      <w:r>
        <w:rPr>
          <w:rFonts w:ascii="微软雅黑" w:hAnsi="微软雅黑" w:cs="微软雅黑" w:eastAsia="微软雅黑"/>
        </w:rPr>
        <w:t>2.7 [学会反思] 具有终身学习与专业发展意识。了解国内外基础教育改革发展 动态，能够适应时代和教育发展需求，进行学习和职业生涯规划。初步掌握反思方 法和技能，具有一定创新意识，运用批判性思维方法，学会分析和解决教育教学问 题。</w:t>
      </w:r>
    </w:p>
    <w:p>
      <w:pPr>
        <w:pStyle w:val="BodyText"/>
        <w:spacing w:line="410" w:lineRule="exact" w:before="22"/>
        <w:ind w:right="115" w:firstLine="480"/>
        <w:jc w:val="both"/>
        <w:rPr>
          <w:rFonts w:ascii="微软雅黑" w:hAnsi="微软雅黑" w:cs="微软雅黑" w:eastAsia="微软雅黑"/>
        </w:rPr>
      </w:pPr>
      <w:r>
        <w:rPr>
          <w:rFonts w:ascii="微软雅黑" w:hAnsi="微软雅黑" w:cs="微软雅黑" w:eastAsia="微软雅黑"/>
        </w:rPr>
        <w:t>2.8 [沟通合作] 理解学习共同体的作用，具有团队协作精神，掌握沟通合作技 能，具有小组互助和合作学习体验。</w:t>
      </w:r>
    </w:p>
    <w:p>
      <w:pPr>
        <w:pStyle w:val="Heading5"/>
        <w:spacing w:line="240" w:lineRule="auto" w:before="84"/>
        <w:ind w:right="0"/>
        <w:jc w:val="both"/>
        <w:rPr>
          <w:b w:val="0"/>
          <w:bCs w:val="0"/>
        </w:rPr>
      </w:pPr>
      <w:bookmarkStart w:name="第一部分：达标情况" w:id="115"/>
      <w:bookmarkEnd w:id="115"/>
      <w:r>
        <w:rPr>
          <w:b w:val="0"/>
          <w:bCs w:val="0"/>
        </w:rPr>
      </w:r>
      <w:r>
        <w:rPr/>
        <w:t>第一部分：达标情况</w:t>
      </w:r>
      <w:r>
        <w:rPr>
          <w:b w:val="0"/>
          <w:bCs w:val="0"/>
        </w:rPr>
      </w:r>
    </w:p>
    <w:p>
      <w:pPr>
        <w:pStyle w:val="BodyText"/>
        <w:spacing w:line="312" w:lineRule="exact" w:before="148"/>
        <w:ind w:right="11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7"/>
        <w:ind w:left="120" w:right="0" w:firstLine="0"/>
        <w:jc w:val="both"/>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4"/>
        <w:rPr>
          <w:rFonts w:ascii="华文楷体" w:hAnsi="华文楷体" w:cs="华文楷体" w:eastAsia="华文楷体"/>
          <w:sz w:val="16"/>
          <w:szCs w:val="16"/>
        </w:rPr>
      </w:pPr>
    </w:p>
    <w:p>
      <w:pPr>
        <w:pStyle w:val="BodyText"/>
        <w:spacing w:line="240" w:lineRule="auto"/>
        <w:ind w:right="0"/>
        <w:jc w:val="both"/>
      </w:pPr>
      <w:r>
        <w:rPr/>
        <w:t>②列表说明专业毕业要求对专业培养目标的对应支撑情况并进行分析。</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5"/>
        <w:rPr>
          <w:rFonts w:ascii="华文楷体" w:hAnsi="华文楷体" w:cs="华文楷体" w:eastAsia="华文楷体"/>
          <w:sz w:val="28"/>
          <w:szCs w:val="28"/>
        </w:rPr>
      </w:pPr>
    </w:p>
    <w:p>
      <w:pPr>
        <w:pStyle w:val="BodyText"/>
        <w:spacing w:line="344" w:lineRule="exact"/>
        <w:ind w:right="0"/>
        <w:jc w:val="left"/>
      </w:pPr>
      <w:r>
        <w:rPr/>
        <w:t>③列表说明专业毕业要求对认证标准“毕业要求”8</w:t>
      </w:r>
      <w:r>
        <w:rPr>
          <w:spacing w:val="-35"/>
        </w:rPr>
        <w:t> </w:t>
      </w:r>
      <w:r>
        <w:rPr>
          <w:spacing w:val="-3"/>
        </w:rPr>
        <w:t>条（2.1-2.8）的覆盖情况并进行</w:t>
      </w:r>
    </w:p>
    <w:p>
      <w:pPr>
        <w:spacing w:after="0" w:line="344" w:lineRule="exact"/>
        <w:jc w:val="left"/>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spacing w:val="-6"/>
        </w:rPr>
        <w:t>分析（专业不宜照搬这 </w:t>
      </w:r>
      <w:r>
        <w:rPr/>
        <w:t>8</w:t>
      </w:r>
      <w:r>
        <w:rPr>
          <w:spacing w:val="29"/>
        </w:rPr>
        <w:t> </w:t>
      </w:r>
      <w:r>
        <w:rPr>
          <w:spacing w:val="-3"/>
        </w:rPr>
        <w:t>条要求，而应结合本专业培养目标制定出自己的毕业要求，</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并在广度、深度和程度上完全覆盖认证标准 8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1968" w:right="2086"/>
        <w:jc w:val="center"/>
      </w:pPr>
      <w:r>
        <w:rPr/>
        <w:t>专业毕业要求与认证标准毕业要求 8</w:t>
      </w:r>
      <w:r>
        <w:rPr>
          <w:spacing w:val="-3"/>
        </w:rPr>
        <w:t> </w:t>
      </w:r>
      <w:r>
        <w:rPr/>
        <w:t>条对照表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pStyle w:val="BodyText"/>
        <w:spacing w:line="240" w:lineRule="auto" w:before="65"/>
        <w:ind w:left="2640" w:right="35"/>
        <w:jc w:val="left"/>
      </w:pPr>
      <w:r>
        <w:rPr/>
        <w:t>最近一次毕业要求达成评价结果表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before="1"/>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0"/>
        <w:rPr>
          <w:rFonts w:ascii="华文楷体" w:hAnsi="华文楷体" w:cs="华文楷体" w:eastAsia="华文楷体"/>
          <w:sz w:val="19"/>
          <w:szCs w:val="19"/>
        </w:rPr>
      </w:pPr>
    </w:p>
    <w:p>
      <w:pPr>
        <w:pStyle w:val="Heading5"/>
        <w:spacing w:line="355" w:lineRule="exact"/>
        <w:ind w:right="35"/>
        <w:jc w:val="left"/>
        <w:rPr>
          <w:b w:val="0"/>
          <w:bCs w:val="0"/>
        </w:rPr>
      </w:pPr>
      <w:bookmarkStart w:name="第二部分：主要问题" w:id="116"/>
      <w:bookmarkEnd w:id="116"/>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after="0" w:line="312" w:lineRule="exact"/>
        <w:jc w:val="left"/>
        <w:rPr>
          <w:rFonts w:ascii="楷体" w:hAnsi="楷体" w:cs="楷体" w:eastAsia="楷体"/>
        </w:rPr>
        <w:sectPr>
          <w:pgSz w:w="12240" w:h="15840"/>
          <w:pgMar w:header="773" w:footer="700" w:top="960" w:bottom="880" w:left="1680" w:right="1560"/>
        </w:sect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24"/>
          <w:szCs w:val="24"/>
        </w:rPr>
      </w:pPr>
    </w:p>
    <w:p>
      <w:pPr>
        <w:pStyle w:val="Heading5"/>
        <w:spacing w:line="355" w:lineRule="exact"/>
        <w:ind w:left="220" w:right="0"/>
        <w:jc w:val="both"/>
        <w:rPr>
          <w:b w:val="0"/>
          <w:bCs w:val="0"/>
        </w:rPr>
      </w:pPr>
      <w:bookmarkStart w:name="第三部分：改进措施" w:id="117"/>
      <w:bookmarkEnd w:id="117"/>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left="220" w:right="2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left="220" w:right="0"/>
        <w:jc w:val="both"/>
        <w:rPr>
          <w:b w:val="0"/>
          <w:bCs w:val="0"/>
        </w:rPr>
      </w:pPr>
      <w:bookmarkStart w:name="标准3课程与教学" w:id="118"/>
      <w:bookmarkEnd w:id="118"/>
      <w:r>
        <w:rPr>
          <w:b w:val="0"/>
          <w:bCs w:val="0"/>
        </w:rPr>
      </w:r>
      <w:r>
        <w:rPr/>
        <w:t>标准 3</w:t>
      </w:r>
      <w:r>
        <w:rPr>
          <w:spacing w:val="-32"/>
        </w:rPr>
        <w:t> </w:t>
      </w:r>
      <w:r>
        <w:rPr/>
        <w:t>课程与教学</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left="220" w:right="0"/>
        <w:jc w:val="both"/>
        <w:rPr>
          <w:b w:val="0"/>
          <w:bCs w:val="0"/>
        </w:rPr>
      </w:pPr>
      <w:bookmarkStart w:name="第一部分：达标情况" w:id="119"/>
      <w:bookmarkEnd w:id="119"/>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2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left="220" w:right="215"/>
        <w:jc w:val="both"/>
        <w:rPr>
          <w:rFonts w:ascii="微软雅黑" w:hAnsi="微软雅黑" w:cs="微软雅黑" w:eastAsia="微软雅黑"/>
        </w:rPr>
      </w:pPr>
      <w:r>
        <w:rPr>
          <w:rFonts w:ascii="微软雅黑" w:hAnsi="微软雅黑" w:cs="微软雅黑" w:eastAsia="微软雅黑"/>
        </w:rPr>
        <w:t>3.1 [课程设置] 课程设置应符合小学教师专业标准和教师教育课程标准要求，能够 支撑毕业要求达成。</w:t>
      </w:r>
    </w:p>
    <w:p>
      <w:pPr>
        <w:spacing w:line="240" w:lineRule="auto" w:before="4"/>
        <w:rPr>
          <w:rFonts w:ascii="微软雅黑" w:hAnsi="微软雅黑" w:cs="微软雅黑" w:eastAsia="微软雅黑"/>
          <w:sz w:val="14"/>
          <w:szCs w:val="14"/>
        </w:rPr>
      </w:pPr>
    </w:p>
    <w:p>
      <w:pPr>
        <w:pStyle w:val="BodyText"/>
        <w:spacing w:line="424" w:lineRule="auto"/>
        <w:ind w:left="220" w:right="219"/>
        <w:jc w:val="both"/>
        <w:rPr>
          <w:rFonts w:ascii="华文楷体" w:hAnsi="华文楷体" w:cs="华文楷体" w:eastAsia="华文楷体"/>
        </w:rPr>
      </w:pPr>
      <w:r>
        <w:rPr/>
        <w:t>①</w:t>
      </w:r>
      <w:r>
        <w:rPr>
          <w:spacing w:val="19"/>
        </w:rPr>
        <w:t> </w:t>
      </w:r>
      <w:r>
        <w:rPr>
          <w:spacing w:val="-4"/>
        </w:rPr>
        <w:t>描述说明现行培养方案中课程体系整体架构与特点，学分认定的规则。展示现行</w:t>
      </w:r>
      <w:r>
        <w:rPr/>
        <w:t> 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pStyle w:val="BodyText"/>
        <w:spacing w:line="424" w:lineRule="auto" w:before="185"/>
        <w:ind w:left="220" w:right="219"/>
        <w:jc w:val="both"/>
      </w:pPr>
      <w:r>
        <w:rPr/>
        <w:pict>
          <v:shape style="position:absolute;margin-left:84.360001pt;margin-top:66.877495pt;width:443.55pt;height:159pt;mso-position-horizontal-relative:page;mso-position-vertical-relative:paragraph;z-index:128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after="0" w:line="242" w:lineRule="auto"/>
        <w:jc w:val="left"/>
        <w:rPr>
          <w:rFonts w:ascii="华文楷体" w:hAnsi="华文楷体" w:cs="华文楷体" w:eastAsia="华文楷体"/>
          <w:sz w:val="21"/>
          <w:szCs w:val="21"/>
        </w:rPr>
        <w:sectPr>
          <w:pgSz w:w="12240" w:h="15840"/>
          <w:pgMar w:header="773" w:footer="700" w:top="960" w:bottom="880" w:left="1580" w:right="15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③列表说明课程体系设置符合小学教师专业标准、教师教育课程标准和专业教学相 关标准要求，跟踪对接国际基础教育改革新趋势、新动向情况，及用于支撑专业培 养目标特色和优势的课程情况并进行分析。</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3.2 [课程结构] 课程结构体现通识教育、学科专业教育与教师教育有机结合；理论 课程与实践课程、必修课与选修课设置合理。各类课程学分比例恰当，通识教育课 程中的人文社会与科学素养课程学分不低于总学分的</w:t>
      </w:r>
      <w:r>
        <w:rPr>
          <w:rFonts w:ascii="微软雅黑" w:hAnsi="微软雅黑" w:cs="微软雅黑" w:eastAsia="微软雅黑"/>
          <w:spacing w:val="-7"/>
        </w:rPr>
        <w:t> </w:t>
      </w:r>
      <w:r>
        <w:rPr>
          <w:rFonts w:ascii="微软雅黑" w:hAnsi="微软雅黑" w:cs="微软雅黑" w:eastAsia="微软雅黑"/>
          <w:spacing w:val="-6"/>
        </w:rPr>
        <w:t>10%，学科专业课程学分不低</w:t>
      </w:r>
      <w:r>
        <w:rPr>
          <w:rFonts w:ascii="微软雅黑" w:hAnsi="微软雅黑" w:cs="微软雅黑" w:eastAsia="微软雅黑"/>
        </w:rPr>
        <w:t> 于总学分的</w:t>
      </w:r>
      <w:r>
        <w:rPr>
          <w:rFonts w:ascii="微软雅黑" w:hAnsi="微软雅黑" w:cs="微软雅黑" w:eastAsia="微软雅黑"/>
          <w:spacing w:val="-16"/>
        </w:rPr>
        <w:t> </w:t>
      </w:r>
      <w:r>
        <w:rPr>
          <w:rFonts w:ascii="微软雅黑" w:hAnsi="微软雅黑" w:cs="微软雅黑" w:eastAsia="微软雅黑"/>
        </w:rPr>
        <w:t>35%，教师教育课程达到教师教育课程标准规定的学分要求。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②描述说明各类课程设置与学分比例达到认证标准并能够满足“一践行三学会”养 成教育要求。</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3.3 [课程内容] 课程内容体现小学教育的专业性，注重基础性、科学性、实践性， 把社会主义核心价值观、师德教育有机融入课程教学中。选用优秀教材，吸收学科 前沿知识，引入课程改革和教育研究最新成果、优秀小学教育教学案例，并能够结 合师范生学习状况及时更新、完善课程内容。</w:t>
      </w:r>
    </w:p>
    <w:p>
      <w:pPr>
        <w:spacing w:line="240" w:lineRule="auto" w:before="8"/>
        <w:rPr>
          <w:rFonts w:ascii="微软雅黑" w:hAnsi="微软雅黑" w:cs="微软雅黑" w:eastAsia="微软雅黑"/>
          <w:sz w:val="17"/>
          <w:szCs w:val="17"/>
        </w:rPr>
      </w:pPr>
    </w:p>
    <w:p>
      <w:pPr>
        <w:pStyle w:val="BodyText"/>
        <w:spacing w:line="424" w:lineRule="auto"/>
        <w:ind w:right="119"/>
        <w:jc w:val="both"/>
      </w:pPr>
      <w:r>
        <w:rPr/>
        <w:t>①描述说明课程内容体现小学教育专业性，注重基础性、科学性、综合性和实践性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③描述说明课程内容引入课程改革和教育研究最新成果和青少年发展与教育研究最 新成果、优秀小学教育教学案例的情况，并举例说明。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t>④描述说明课程内容更新、动态调整机制及执行情况。</w:t>
      </w:r>
    </w:p>
    <w:p>
      <w:pPr>
        <w:spacing w:after="0" w:line="240"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3.4 [课程实施] 重视课堂教学在培养过程中的基础作用。依据毕业要求制定课程目 标和教学大纲，教学内容、教学方法、考核内容与方式应支持课程目标的实现。能 够恰当运用案例教学、探究教学、现场教学等方式，合理应用信息技术，提高师范 生学习效果。课堂教学、课外指导和课外学习的时间分配合理，技能训练课程实行 小班教学，养成师范生自主学习能力和“三字一话”等从教基本功。</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③描述说明专业注重师范生的主体参与和实践体验，以课堂教学、课外指导提升自 主学习能力，应用信息技术推进教与学的改革情况。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④描述说明教师基本技能、小学教师“三字一话”等从教基本功训练以及师德养成 教育情况与效果。</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rFonts w:ascii="楷体" w:hAnsi="楷体" w:cs="楷体" w:eastAsia="楷体"/>
        </w:rPr>
        <w:t>⑤</w:t>
      </w:r>
      <w:r>
        <w:rPr/>
        <w:t>描述说明校园文化活动对师范生从教信仰、专业素养与创新能力培养的作用。</w:t>
      </w:r>
    </w:p>
    <w:p>
      <w:pPr>
        <w:spacing w:line="240" w:lineRule="auto" w:before="3"/>
        <w:rPr>
          <w:rFonts w:ascii="华文楷体" w:hAnsi="华文楷体" w:cs="华文楷体" w:eastAsia="华文楷体"/>
          <w:sz w:val="19"/>
          <w:szCs w:val="19"/>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5"/>
        <w:rPr>
          <w:rFonts w:ascii="微软雅黑" w:hAnsi="微软雅黑" w:cs="微软雅黑" w:eastAsia="微软雅黑"/>
          <w:sz w:val="26"/>
          <w:szCs w:val="26"/>
        </w:rPr>
      </w:pPr>
    </w:p>
    <w:p>
      <w:pPr>
        <w:pStyle w:val="BodyText"/>
        <w:spacing w:line="424" w:lineRule="auto"/>
        <w:ind w:right="119"/>
        <w:jc w:val="both"/>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119"/>
        <w:jc w:val="both"/>
      </w:pPr>
      <w:r>
        <w:rPr/>
        <w:t>②列表说明最近一次课程体系合理性评价及课程目标达成评价情况并评价结果进行 分析。</w:t>
      </w:r>
    </w:p>
    <w:p>
      <w:pPr>
        <w:pStyle w:val="BodyText"/>
        <w:spacing w:line="240" w:lineRule="auto" w:before="65"/>
        <w:ind w:right="0"/>
        <w:jc w:val="both"/>
      </w:pPr>
      <w:r>
        <w:rPr/>
        <w:t>③描述说明专业最近一次课程体系及课程目标根据评价结果进行修订情况。</w:t>
      </w:r>
    </w:p>
    <w:p>
      <w:pPr>
        <w:spacing w:after="0" w:line="240"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239"/>
        <w:jc w:val="both"/>
      </w:pPr>
      <w:r>
        <w:rPr/>
        <w:t>④描述说明用人单位、师范毕业生等利益相关方参与评价与修订的过程、方式和发 挥的作用。</w:t>
      </w:r>
    </w:p>
    <w:p>
      <w:pPr>
        <w:pStyle w:val="Heading5"/>
        <w:spacing w:line="240" w:lineRule="auto" w:before="180"/>
        <w:ind w:right="0"/>
        <w:jc w:val="both"/>
        <w:rPr>
          <w:b w:val="0"/>
          <w:bCs w:val="0"/>
        </w:rPr>
      </w:pPr>
      <w:bookmarkStart w:name="第二部分：主要问题" w:id="120"/>
      <w:bookmarkEnd w:id="120"/>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121"/>
      <w:bookmarkEnd w:id="121"/>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4合作与实践" w:id="122"/>
      <w:bookmarkEnd w:id="122"/>
      <w:r>
        <w:rPr>
          <w:b w:val="0"/>
          <w:bCs w:val="0"/>
        </w:rPr>
      </w:r>
      <w:r>
        <w:rPr/>
        <w:t>标准 4</w:t>
      </w:r>
      <w:r>
        <w:rPr>
          <w:spacing w:val="-32"/>
        </w:rPr>
        <w:t> </w:t>
      </w:r>
      <w:r>
        <w:rPr/>
        <w:t>合作与实践</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23"/>
      <w:bookmarkEnd w:id="12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235"/>
        <w:jc w:val="both"/>
        <w:rPr>
          <w:rFonts w:ascii="微软雅黑" w:hAnsi="微软雅黑" w:cs="微软雅黑" w:eastAsia="微软雅黑"/>
        </w:rPr>
      </w:pPr>
      <w:r>
        <w:rPr>
          <w:rFonts w:ascii="微软雅黑" w:hAnsi="微软雅黑" w:cs="微软雅黑" w:eastAsia="微软雅黑"/>
        </w:rPr>
        <w:t>4.1 [协同育人] 与地方教育行政部门和小学建立权责明晰、稳定协调、合作共赢的 “三位一体”协同培养机制，基本形成教师培养、培训、研究和服务一体化的合作 共同体。</w:t>
      </w:r>
    </w:p>
    <w:p>
      <w:pPr>
        <w:pStyle w:val="BodyText"/>
        <w:spacing w:line="240" w:lineRule="auto" w:before="145"/>
        <w:ind w:right="0"/>
        <w:jc w:val="both"/>
      </w:pPr>
      <w:r>
        <w:rPr/>
        <w:t>①描述学校与地方教育行政部门和小学建立“三位一体”协同培养机制情况。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②描述学校与小学合作搭建教师专业发展平台，形成小学教师培养、培训、研究和 服务一体化的合作共同体情况。</w:t>
      </w:r>
    </w:p>
    <w:p>
      <w:pPr>
        <w:pStyle w:val="BodyText"/>
        <w:spacing w:line="240" w:lineRule="auto" w:before="65"/>
        <w:ind w:right="0"/>
        <w:jc w:val="both"/>
      </w:pPr>
      <w:r>
        <w:rPr/>
        <w:t>③描述“三位一体”协同育人工作成效。</w:t>
      </w:r>
    </w:p>
    <w:p>
      <w:pPr>
        <w:pStyle w:val="BodyText"/>
        <w:spacing w:line="240" w:lineRule="auto" w:before="126"/>
        <w:ind w:right="0"/>
        <w:jc w:val="both"/>
        <w:rPr>
          <w:rFonts w:ascii="微软雅黑" w:hAnsi="微软雅黑" w:cs="微软雅黑" w:eastAsia="微软雅黑"/>
        </w:rPr>
      </w:pPr>
      <w:r>
        <w:rPr>
          <w:rFonts w:ascii="微软雅黑" w:hAnsi="微软雅黑" w:cs="微软雅黑" w:eastAsia="微软雅黑"/>
        </w:rPr>
        <w:t>4.2 [基地建设]</w:t>
      </w:r>
      <w:r>
        <w:rPr>
          <w:rFonts w:ascii="微软雅黑" w:hAnsi="微软雅黑" w:cs="微软雅黑" w:eastAsia="微软雅黑"/>
          <w:spacing w:val="47"/>
        </w:rPr>
        <w:t> </w:t>
      </w:r>
      <w:r>
        <w:rPr>
          <w:rFonts w:ascii="微软雅黑" w:hAnsi="微软雅黑" w:cs="微软雅黑" w:eastAsia="微软雅黑"/>
          <w:spacing w:val="-3"/>
        </w:rPr>
        <w:t>教育实践基地相对稳定，能够提供合适的教育实践环境和实习指导，</w:t>
      </w:r>
    </w:p>
    <w:p>
      <w:pPr>
        <w:spacing w:after="0" w:line="240"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5" w:lineRule="exact"/>
        <w:ind w:right="0"/>
        <w:jc w:val="both"/>
        <w:rPr>
          <w:rFonts w:ascii="微软雅黑" w:hAnsi="微软雅黑" w:cs="微软雅黑" w:eastAsia="微软雅黑"/>
        </w:rPr>
      </w:pPr>
      <w:r>
        <w:rPr>
          <w:rFonts w:ascii="微软雅黑" w:hAnsi="微软雅黑" w:cs="微软雅黑" w:eastAsia="微软雅黑"/>
        </w:rPr>
        <w:t>满足师范生教育实践需求。每 20 个实习生不少于 1</w:t>
      </w:r>
      <w:r>
        <w:rPr>
          <w:rFonts w:ascii="微软雅黑" w:hAnsi="微软雅黑" w:cs="微软雅黑" w:eastAsia="微软雅黑"/>
          <w:spacing w:val="-48"/>
        </w:rPr>
        <w:t> </w:t>
      </w:r>
      <w:r>
        <w:rPr>
          <w:rFonts w:ascii="微软雅黑" w:hAnsi="微软雅黑" w:cs="微软雅黑" w:eastAsia="微软雅黑"/>
        </w:rPr>
        <w:t>个教育实践基地。</w:t>
      </w:r>
    </w:p>
    <w:p>
      <w:pPr>
        <w:pStyle w:val="BodyText"/>
        <w:spacing w:line="424" w:lineRule="auto" w:before="142"/>
        <w:ind w:right="239"/>
        <w:jc w:val="both"/>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0"/>
        <w:jc w:val="both"/>
      </w:pPr>
      <w:r>
        <w:rPr/>
        <w:t>②描述学校利用实践基地开展专业培养的相关制度和举措及其成效。</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4.3 [实践教学] 实践教学体系完整，专业实践和教育实践有机结合。教育见习、教 育实习、教育研习贯通，涵盖师德体验、教学实践、班级管理实践和教研实践等， 并与其他教育环节有机衔接。教育实践时间累计不少于一学期。学校集中组织教育 实习，保证师范生实习期间的上课时数。</w:t>
      </w:r>
    </w:p>
    <w:p>
      <w:pPr>
        <w:pStyle w:val="BodyText"/>
        <w:spacing w:line="240" w:lineRule="auto" w:before="143"/>
        <w:ind w:right="0"/>
        <w:jc w:val="both"/>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②描述教育实习工作规范制定及落实情况，包括课程标准、实施计划、实习手册， 评价标准等。</w:t>
      </w:r>
    </w:p>
    <w:p>
      <w:pPr>
        <w:pStyle w:val="BodyText"/>
        <w:spacing w:line="424" w:lineRule="auto" w:before="65"/>
        <w:ind w:right="239"/>
        <w:jc w:val="both"/>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4.4 [导师队伍]</w:t>
      </w:r>
      <w:r>
        <w:rPr>
          <w:rFonts w:ascii="微软雅黑" w:hAnsi="微软雅黑" w:cs="微软雅黑" w:eastAsia="微软雅黑"/>
          <w:spacing w:val="46"/>
        </w:rPr>
        <w:t> </w:t>
      </w:r>
      <w:r>
        <w:rPr>
          <w:rFonts w:ascii="微软雅黑" w:hAnsi="微软雅黑" w:cs="微软雅黑" w:eastAsia="微软雅黑"/>
          <w:spacing w:val="-3"/>
        </w:rPr>
        <w:t>实行高校教师与优秀小学教师共同指导教育实践的“双导师”制度。</w:t>
      </w:r>
      <w:r>
        <w:rPr>
          <w:rFonts w:ascii="微软雅黑" w:hAnsi="微软雅黑" w:cs="微软雅黑" w:eastAsia="微软雅黑"/>
        </w:rPr>
        <w:t> </w:t>
      </w:r>
      <w:r>
        <w:rPr>
          <w:rFonts w:ascii="微软雅黑" w:hAnsi="微软雅黑" w:cs="微软雅黑" w:eastAsia="微软雅黑"/>
          <w:spacing w:val="-4"/>
        </w:rPr>
        <w:t>有遴选、培训、评价和支持教育实践指导教师的制度与措施。“双导师”数量充足，</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相对稳定，责权明确，有效履职。</w:t>
      </w:r>
    </w:p>
    <w:p>
      <w:pPr>
        <w:spacing w:line="240" w:lineRule="auto" w:before="8"/>
        <w:rPr>
          <w:rFonts w:ascii="微软雅黑" w:hAnsi="微软雅黑" w:cs="微软雅黑" w:eastAsia="微软雅黑"/>
          <w:sz w:val="26"/>
          <w:szCs w:val="26"/>
        </w:rPr>
      </w:pPr>
    </w:p>
    <w:p>
      <w:pPr>
        <w:pStyle w:val="BodyText"/>
        <w:spacing w:line="424" w:lineRule="auto"/>
        <w:ind w:right="239"/>
        <w:jc w:val="both"/>
      </w:pPr>
      <w:r>
        <w:rPr/>
        <w:t>①描述说明学校实行高校教师与优秀小学教师共同指导教育实践的“双导师”制度 与具体措施，包括导师遴选、人员配置、实践指导、能力提升、条件保障、考核评 价与动态调整等方面。</w:t>
      </w:r>
    </w:p>
    <w:p>
      <w:pPr>
        <w:pStyle w:val="BodyText"/>
        <w:spacing w:line="240" w:lineRule="auto" w:before="65"/>
        <w:ind w:right="0"/>
        <w:jc w:val="both"/>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④描述说明学校支持教育实践指导教师的专门制度与措施。</w:t>
      </w:r>
    </w:p>
    <w:p>
      <w:pPr>
        <w:spacing w:after="0" w:line="240" w:lineRule="auto"/>
        <w:jc w:val="both"/>
        <w:sectPr>
          <w:headerReference w:type="default" r:id="rId41"/>
          <w:footerReference w:type="default" r:id="rId42"/>
          <w:pgSz w:w="12240" w:h="15840"/>
          <w:pgMar w:header="0" w:footer="700" w:top="880" w:bottom="880" w:left="1680" w:right="1560"/>
          <w:pgNumType w:start="10"/>
        </w:sectPr>
      </w:pPr>
    </w:p>
    <w:p>
      <w:pPr>
        <w:spacing w:line="240" w:lineRule="auto" w:before="6"/>
        <w:rPr>
          <w:rFonts w:ascii="华文楷体" w:hAnsi="华文楷体" w:cs="华文楷体" w:eastAsia="华文楷体"/>
          <w:sz w:val="5"/>
          <w:szCs w:val="5"/>
        </w:rPr>
      </w:pPr>
    </w:p>
    <w:p>
      <w:pPr>
        <w:spacing w:line="20" w:lineRule="exact"/>
        <w:ind w:left="112" w:right="0" w:firstLine="0"/>
        <w:rPr>
          <w:rFonts w:ascii="华文楷体" w:hAnsi="华文楷体" w:cs="华文楷体" w:eastAsia="华文楷体"/>
          <w:sz w:val="2"/>
          <w:szCs w:val="2"/>
        </w:rPr>
      </w:pPr>
      <w:r>
        <w:rPr>
          <w:rFonts w:ascii="华文楷体" w:hAnsi="华文楷体" w:cs="华文楷体" w:eastAsia="华文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华文楷体" w:hAnsi="华文楷体" w:cs="华文楷体" w:eastAsia="华文楷体"/>
          <w:sz w:val="2"/>
          <w:szCs w:val="2"/>
        </w:rPr>
      </w:r>
    </w:p>
    <w:p>
      <w:pPr>
        <w:spacing w:line="240" w:lineRule="auto" w:before="0"/>
        <w:rPr>
          <w:rFonts w:ascii="华文楷体" w:hAnsi="华文楷体" w:cs="华文楷体" w:eastAsia="华文楷体"/>
          <w:sz w:val="20"/>
          <w:szCs w:val="20"/>
        </w:rPr>
      </w:pPr>
    </w:p>
    <w:p>
      <w:pPr>
        <w:pStyle w:val="BodyText"/>
        <w:spacing w:line="410" w:lineRule="exact" w:before="141"/>
        <w:ind w:right="35"/>
        <w:jc w:val="left"/>
        <w:rPr>
          <w:rFonts w:ascii="微软雅黑" w:hAnsi="微软雅黑" w:cs="微软雅黑" w:eastAsia="微软雅黑"/>
        </w:rPr>
      </w:pPr>
      <w:r>
        <w:rPr>
          <w:rFonts w:ascii="微软雅黑" w:hAnsi="微软雅黑" w:cs="微软雅黑" w:eastAsia="微软雅黑"/>
        </w:rPr>
        <w:t>4.5 [管理评价] 教育实践管理较为规范，能够对重点环节实施质量监控。实行教育 实践评价与改进制度。依据相关标准，对教育实践表现进行有效评价。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①描述学校实践教学管理制度和措施，说明对教育见习、实验（实训）、教育实习、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③描述说明小学教育专业师范生教育实践标准，对实践能力和教育教学反思能力的 考核评价方式及效果分析。</w:t>
      </w:r>
    </w:p>
    <w:p>
      <w:pPr>
        <w:pStyle w:val="BodyText"/>
        <w:spacing w:line="240" w:lineRule="auto" w:before="65"/>
        <w:ind w:right="35"/>
        <w:jc w:val="left"/>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35"/>
        <w:jc w:val="left"/>
        <w:rPr>
          <w:b w:val="0"/>
          <w:bCs w:val="0"/>
        </w:rPr>
      </w:pPr>
      <w:bookmarkStart w:name="第二部分：主要问题" w:id="124"/>
      <w:bookmarkEnd w:id="124"/>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35"/>
        <w:jc w:val="left"/>
        <w:rPr>
          <w:b w:val="0"/>
          <w:bCs w:val="0"/>
        </w:rPr>
      </w:pPr>
      <w:bookmarkStart w:name="第三部分：改进措施" w:id="125"/>
      <w:bookmarkEnd w:id="125"/>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35"/>
        <w:jc w:val="left"/>
        <w:rPr>
          <w:b w:val="0"/>
          <w:bCs w:val="0"/>
        </w:rPr>
      </w:pPr>
      <w:bookmarkStart w:name="标准5师资队伍" w:id="126"/>
      <w:bookmarkEnd w:id="126"/>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35"/>
        <w:jc w:val="left"/>
        <w:rPr>
          <w:b w:val="0"/>
          <w:bCs w:val="0"/>
        </w:rPr>
      </w:pPr>
      <w:bookmarkStart w:name="第一部分：达标情况" w:id="127"/>
      <w:bookmarkEnd w:id="127"/>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5" w:firstLine="0"/>
        <w:jc w:val="left"/>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z w:val="21"/>
          <w:szCs w:val="21"/>
        </w:rPr>
      </w:r>
    </w:p>
    <w:p>
      <w:pPr>
        <w:spacing w:after="0" w:line="273" w:lineRule="auto"/>
        <w:jc w:val="left"/>
        <w:rPr>
          <w:rFonts w:ascii="楷体" w:hAnsi="楷体" w:cs="楷体" w:eastAsia="楷体"/>
          <w:sz w:val="21"/>
          <w:szCs w:val="21"/>
        </w:rPr>
        <w:sectPr>
          <w:headerReference w:type="default" r:id="rId43"/>
          <w:footerReference w:type="default" r:id="rId44"/>
          <w:pgSz w:w="12240" w:h="15840"/>
          <w:pgMar w:header="0" w:footer="700" w:top="880" w:bottom="880" w:left="1680" w:right="1560"/>
          <w:pgNumType w:start="11"/>
        </w:sectPr>
      </w:pPr>
    </w:p>
    <w:p>
      <w:pPr>
        <w:spacing w:line="240" w:lineRule="auto" w:before="0"/>
        <w:rPr>
          <w:rFonts w:ascii="楷体" w:hAnsi="楷体" w:cs="楷体" w:eastAsia="楷体"/>
          <w:sz w:val="6"/>
          <w:szCs w:val="6"/>
        </w:rPr>
      </w:pPr>
    </w:p>
    <w:p>
      <w:pPr>
        <w:spacing w:line="20" w:lineRule="exact"/>
        <w:ind w:left="112" w:right="0" w:firstLine="0"/>
        <w:rPr>
          <w:rFonts w:ascii="楷体" w:hAnsi="楷体" w:cs="楷体" w:eastAsia="楷体"/>
          <w:sz w:val="2"/>
          <w:szCs w:val="2"/>
        </w:rPr>
      </w:pPr>
      <w:r>
        <w:rPr>
          <w:rFonts w:ascii="楷体" w:hAnsi="楷体" w:cs="楷体" w:eastAsia="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楷体" w:hAnsi="楷体" w:cs="楷体" w:eastAsia="楷体"/>
          <w:sz w:val="2"/>
          <w:szCs w:val="2"/>
        </w:rPr>
      </w:r>
    </w:p>
    <w:p>
      <w:pPr>
        <w:spacing w:line="240" w:lineRule="auto" w:before="0"/>
        <w:rPr>
          <w:rFonts w:ascii="楷体" w:hAnsi="楷体" w:cs="楷体" w:eastAsia="楷体"/>
          <w:sz w:val="20"/>
          <w:szCs w:val="20"/>
        </w:rPr>
      </w:pPr>
    </w:p>
    <w:p>
      <w:pPr>
        <w:spacing w:line="240" w:lineRule="auto" w:before="2"/>
        <w:rPr>
          <w:rFonts w:ascii="楷体" w:hAnsi="楷体" w:cs="楷体" w:eastAsia="楷体"/>
          <w:sz w:val="14"/>
          <w:szCs w:val="14"/>
        </w:rPr>
      </w:pPr>
    </w:p>
    <w:p>
      <w:pPr>
        <w:spacing w:before="0"/>
        <w:ind w:left="120" w:right="0" w:firstLine="0"/>
        <w:jc w:val="both"/>
        <w:rPr>
          <w:rFonts w:ascii="楷体" w:hAnsi="楷体" w:cs="楷体" w:eastAsia="楷体"/>
          <w:sz w:val="21"/>
          <w:szCs w:val="21"/>
        </w:rPr>
      </w:pPr>
      <w:r>
        <w:rPr>
          <w:rFonts w:ascii="楷体" w:hAnsi="楷体" w:cs="楷体" w:eastAsia="楷体"/>
          <w:sz w:val="21"/>
          <w:szCs w:val="21"/>
        </w:rPr>
        <w:t>分析和达成说明）</w:t>
      </w:r>
    </w:p>
    <w:p>
      <w:pPr>
        <w:pStyle w:val="BodyText"/>
        <w:spacing w:line="237" w:lineRule="auto" w:before="160"/>
        <w:ind w:right="35"/>
        <w:jc w:val="left"/>
        <w:rPr>
          <w:rFonts w:ascii="微软雅黑" w:hAnsi="微软雅黑" w:cs="微软雅黑" w:eastAsia="微软雅黑"/>
        </w:rPr>
      </w:pPr>
      <w:r>
        <w:rPr>
          <w:rFonts w:ascii="微软雅黑" w:hAnsi="微软雅黑" w:cs="微软雅黑" w:eastAsia="微软雅黑"/>
        </w:rPr>
        <w:t>5.1</w:t>
      </w:r>
      <w:r>
        <w:rPr>
          <w:rFonts w:ascii="微软雅黑" w:hAnsi="微软雅黑" w:cs="微软雅黑" w:eastAsia="微软雅黑"/>
          <w:spacing w:val="4"/>
        </w:rPr>
        <w:t> </w:t>
      </w:r>
      <w:r>
        <w:rPr>
          <w:rFonts w:ascii="微软雅黑" w:hAnsi="微软雅黑" w:cs="微软雅黑" w:eastAsia="微软雅黑"/>
        </w:rPr>
        <w:t>[数量结构]</w:t>
      </w:r>
      <w:r>
        <w:rPr>
          <w:rFonts w:ascii="微软雅黑" w:hAnsi="微软雅黑" w:cs="微软雅黑" w:eastAsia="微软雅黑"/>
          <w:spacing w:val="59"/>
        </w:rPr>
        <w:t> </w:t>
      </w:r>
      <w:r>
        <w:rPr>
          <w:rFonts w:ascii="微软雅黑" w:hAnsi="微软雅黑" w:cs="微软雅黑" w:eastAsia="微软雅黑"/>
        </w:rPr>
        <w:t>专任教师数量结构能够适应本专业教学和发展的需要，生师比不高</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rPr>
        <w:t>于</w:t>
      </w:r>
      <w:r>
        <w:rPr>
          <w:rFonts w:ascii="微软雅黑" w:hAnsi="微软雅黑" w:cs="微软雅黑" w:eastAsia="微软雅黑"/>
          <w:spacing w:val="-9"/>
        </w:rPr>
        <w:t> </w:t>
      </w:r>
      <w:r>
        <w:rPr>
          <w:rFonts w:ascii="微软雅黑" w:hAnsi="微软雅黑" w:cs="微软雅黑" w:eastAsia="微软雅黑"/>
        </w:rPr>
        <w:t>18:1，硕士、博士学位教师占比本科一般不低于</w:t>
      </w:r>
      <w:r>
        <w:rPr>
          <w:rFonts w:ascii="微软雅黑" w:hAnsi="微软雅黑" w:cs="微软雅黑" w:eastAsia="微软雅黑"/>
          <w:spacing w:val="-8"/>
        </w:rPr>
        <w:t> </w:t>
      </w:r>
      <w:r>
        <w:rPr>
          <w:rFonts w:ascii="微软雅黑" w:hAnsi="微软雅黑" w:cs="微软雅黑" w:eastAsia="微软雅黑"/>
        </w:rPr>
        <w:t>60%、专科一般不低于</w:t>
      </w:r>
      <w:r>
        <w:rPr>
          <w:rFonts w:ascii="微软雅黑" w:hAnsi="微软雅黑" w:cs="微软雅黑" w:eastAsia="微软雅黑"/>
          <w:spacing w:val="-5"/>
        </w:rPr>
        <w:t> </w:t>
      </w:r>
      <w:r>
        <w:rPr>
          <w:rFonts w:ascii="微软雅黑" w:hAnsi="微软雅黑" w:cs="微软雅黑" w:eastAsia="微软雅黑"/>
        </w:rPr>
        <w:t>30%，</w:t>
      </w:r>
      <w:r>
        <w:rPr>
          <w:rFonts w:ascii="微软雅黑" w:hAnsi="微软雅黑" w:cs="微软雅黑" w:eastAsia="微软雅黑"/>
          <w:spacing w:val="-63"/>
        </w:rPr>
        <w:t> </w:t>
      </w:r>
      <w:r>
        <w:rPr>
          <w:rFonts w:ascii="微软雅黑" w:hAnsi="微软雅黑" w:cs="微软雅黑" w:eastAsia="微软雅黑"/>
          <w:spacing w:val="-63"/>
        </w:rPr>
      </w:r>
      <w:r>
        <w:rPr>
          <w:rFonts w:ascii="微软雅黑" w:hAnsi="微软雅黑" w:cs="微软雅黑" w:eastAsia="微软雅黑"/>
        </w:rPr>
        <w:t>高级职称教师比例不低于学校平均水平，且为师范生上课。配足建强教师教育课程 </w:t>
      </w:r>
      <w:r>
        <w:rPr>
          <w:rFonts w:ascii="微软雅黑" w:hAnsi="微软雅黑" w:cs="微软雅黑" w:eastAsia="微软雅黑"/>
          <w:spacing w:val="-4"/>
        </w:rPr>
        <w:t>教师，学科专业课程教师能够满足专业教学需要。基础教育一线兼职教师素质良好、</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队伍稳定，占教师教育课程教师比例不低于</w:t>
      </w:r>
      <w:r>
        <w:rPr>
          <w:rFonts w:ascii="微软雅黑" w:hAnsi="微软雅黑" w:cs="微软雅黑" w:eastAsia="微软雅黑"/>
          <w:spacing w:val="-16"/>
        </w:rPr>
        <w:t> </w:t>
      </w:r>
      <w:r>
        <w:rPr>
          <w:rFonts w:ascii="微软雅黑" w:hAnsi="微软雅黑" w:cs="微软雅黑" w:eastAsia="微软雅黑"/>
        </w:rPr>
        <w:t>20%。</w:t>
      </w:r>
    </w:p>
    <w:p>
      <w:pPr>
        <w:pStyle w:val="BodyText"/>
        <w:spacing w:line="424" w:lineRule="auto" w:before="143"/>
        <w:ind w:right="23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pStyle w:val="BodyText"/>
        <w:spacing w:line="424" w:lineRule="auto" w:before="65"/>
        <w:ind w:right="239"/>
        <w:jc w:val="both"/>
      </w:pPr>
      <w:r>
        <w:rPr/>
        <w:t>②描述说明专业专任教师教学能力、学术水平满足师范生培养和专业教学需要的情 况。</w:t>
      </w:r>
    </w:p>
    <w:p>
      <w:pPr>
        <w:pStyle w:val="BodyText"/>
        <w:spacing w:line="424" w:lineRule="auto" w:before="65"/>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424" w:lineRule="auto" w:before="65"/>
        <w:ind w:right="239"/>
        <w:jc w:val="both"/>
      </w:pPr>
      <w:r>
        <w:rPr/>
        <w:t>④描述说明近三年专业专任教师队伍建设和发展满足学生发展需要的情况，配足建 强教师教育课程教师情况，具体说明具有半年以上、专科具有三个月以上境外研修 经历教师占教师教育课程教师比例情况。</w:t>
      </w:r>
    </w:p>
    <w:p>
      <w:pPr>
        <w:pStyle w:val="BodyText"/>
        <w:spacing w:line="240" w:lineRule="auto" w:before="65"/>
        <w:ind w:right="0"/>
        <w:jc w:val="both"/>
      </w:pPr>
      <w:r>
        <w:rPr/>
        <w:t>⑤描述说明近三年专业兼职教师队伍建设和发展满足学生发展需要的情况。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5.2 [素质能力] 遵守高校教师职业道德规范，为人师表，言传身教；以生为本、以 学定教，具有较强的课堂教学、信息技术应用和学习指导等教育教学能力；勤于思 考，严谨治学，具有一定的学术水平和研究能力。具有职前养成和职后发展一体化 指导能力，能够有效指导师范生发展与职业规划。师范生对本专业专任教师、兼职 教师师德和教学具有较高的满意度。</w:t>
      </w:r>
    </w:p>
    <w:p>
      <w:pPr>
        <w:pStyle w:val="BodyText"/>
        <w:spacing w:line="424" w:lineRule="auto" w:before="143"/>
        <w:ind w:right="239"/>
        <w:jc w:val="both"/>
      </w:pPr>
      <w:r>
        <w:rPr/>
        <w:t>①描述说明学校加强专业专任教师队伍师德师风和素质能力建设的制度和措施，及 这些制度和措施发挥的作用。</w:t>
      </w:r>
    </w:p>
    <w:p>
      <w:pPr>
        <w:pStyle w:val="BodyText"/>
        <w:spacing w:line="240" w:lineRule="auto" w:before="65"/>
        <w:ind w:right="0"/>
        <w:jc w:val="both"/>
      </w:pPr>
      <w:r>
        <w:rPr/>
        <w:t>②描述说明常态化学生评教制度与标准，包括专任教师、兼职教师评价，说明学生</w:t>
      </w:r>
    </w:p>
    <w:p>
      <w:pPr>
        <w:spacing w:after="0" w:line="240" w:lineRule="auto"/>
        <w:jc w:val="both"/>
        <w:sectPr>
          <w:headerReference w:type="default" r:id="rId45"/>
          <w:footerReference w:type="default" r:id="rId46"/>
          <w:pgSz w:w="12240" w:h="15840"/>
          <w:pgMar w:header="0" w:footer="700" w:top="880" w:bottom="880" w:left="1680" w:right="1560"/>
          <w:pgNumType w:start="12"/>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满意度。</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③描述说明专业专任教师的基础教育教学改革研究成果以及应用科研成果有效促进 教育教学改革情况。</w:t>
      </w:r>
    </w:p>
    <w:p>
      <w:pPr>
        <w:pStyle w:val="BodyText"/>
        <w:spacing w:line="240" w:lineRule="auto" w:before="65"/>
        <w:ind w:right="0"/>
        <w:jc w:val="both"/>
      </w:pPr>
      <w:r>
        <w:rPr/>
        <w:t>④描述专业专任教师为学生提供职前养成和职后发展一体化指导的情况。</w:t>
      </w:r>
    </w:p>
    <w:p>
      <w:pPr>
        <w:pStyle w:val="BodyText"/>
        <w:spacing w:line="237" w:lineRule="auto" w:before="129"/>
        <w:ind w:right="115"/>
        <w:jc w:val="both"/>
        <w:rPr>
          <w:rFonts w:ascii="微软雅黑" w:hAnsi="微软雅黑" w:cs="微软雅黑" w:eastAsia="微软雅黑"/>
        </w:rPr>
      </w:pPr>
      <w:r>
        <w:rPr>
          <w:rFonts w:ascii="微软雅黑" w:hAnsi="微软雅黑" w:cs="微软雅黑" w:eastAsia="微软雅黑"/>
        </w:rPr>
        <w:t>5.3 [实践经历] 教师教育课程教师熟悉小学教师专业标准、教师教育课程标准和小 学教育教学工作，至少有一年小学教育服务经历[18]。其中学科课程与教学论教师</w:t>
      </w:r>
      <w:r>
        <w:rPr>
          <w:rFonts w:ascii="微软雅黑" w:hAnsi="微软雅黑" w:cs="微软雅黑" w:eastAsia="微软雅黑"/>
          <w:spacing w:val="-40"/>
        </w:rPr>
        <w:t> </w:t>
      </w:r>
      <w:r>
        <w:rPr>
          <w:rFonts w:ascii="微软雅黑" w:hAnsi="微软雅黑" w:cs="微软雅黑" w:eastAsia="微软雅黑"/>
          <w:spacing w:val="-40"/>
        </w:rPr>
      </w:r>
      <w:r>
        <w:rPr>
          <w:rFonts w:ascii="微软雅黑" w:hAnsi="微软雅黑" w:cs="微软雅黑" w:eastAsia="微软雅黑"/>
        </w:rPr>
        <w:t>具有指导、分析、解决小学教育教学实际问题的能力，并有一定的基础教育研究成 果。</w:t>
      </w:r>
    </w:p>
    <w:p>
      <w:pPr>
        <w:pStyle w:val="BodyText"/>
        <w:spacing w:line="424" w:lineRule="auto" w:before="143"/>
        <w:ind w:right="119"/>
        <w:jc w:val="both"/>
      </w:pPr>
      <w:r>
        <w:rPr/>
        <w:t>①描述说明学校和院系两级在鼓励教师教育课程教师深入小学一线实践方面采取的 制度和措施。</w:t>
      </w:r>
    </w:p>
    <w:p>
      <w:pPr>
        <w:pStyle w:val="BodyText"/>
        <w:spacing w:line="424" w:lineRule="auto" w:before="65"/>
        <w:ind w:right="119"/>
        <w:jc w:val="both"/>
      </w:pPr>
      <w:r>
        <w:rPr/>
        <w:t>②描述分析这些制度和措施在激励和保障专业教师通过实践形成丰富的教学研究成 果中发挥的作用。</w:t>
      </w:r>
    </w:p>
    <w:p>
      <w:pPr>
        <w:pStyle w:val="BodyText"/>
        <w:spacing w:line="240" w:lineRule="auto" w:before="65"/>
        <w:ind w:right="0"/>
        <w:jc w:val="both"/>
      </w:pPr>
      <w:r>
        <w:rPr/>
        <w:t>③以列表的方式呈现专业教师近五年基于实践的教学研究成果。</w:t>
      </w:r>
    </w:p>
    <w:p>
      <w:pPr>
        <w:pStyle w:val="BodyText"/>
        <w:spacing w:line="237" w:lineRule="auto" w:before="129"/>
        <w:ind w:right="115"/>
        <w:jc w:val="both"/>
        <w:rPr>
          <w:rFonts w:ascii="微软雅黑" w:hAnsi="微软雅黑" w:cs="微软雅黑" w:eastAsia="微软雅黑"/>
        </w:rPr>
      </w:pPr>
      <w:r>
        <w:rPr>
          <w:rFonts w:ascii="微软雅黑" w:hAnsi="微软雅黑" w:cs="微软雅黑" w:eastAsia="微软雅黑"/>
        </w:rPr>
        <w:t>5.4 [持续发展] 制定并实施教师队伍建设规划。建立教师培训和实践研修制度。建 立专业教研组织，定期开展教研活动。建立教师分类评价制度，评价结果与绩效分 </w:t>
      </w:r>
      <w:r>
        <w:rPr>
          <w:rFonts w:ascii="微软雅黑" w:hAnsi="微软雅黑" w:cs="微软雅黑" w:eastAsia="微软雅黑"/>
          <w:spacing w:val="-7"/>
        </w:rPr>
        <w:t>配、职称评聘挂钩。探索高校和小学“协同教研”“双向互聘”“岗位互换”等共同</w:t>
      </w:r>
      <w:r>
        <w:rPr>
          <w:rFonts w:ascii="微软雅黑" w:hAnsi="微软雅黑" w:cs="微软雅黑" w:eastAsia="微软雅黑"/>
          <w:spacing w:val="-53"/>
        </w:rPr>
        <w:t> </w:t>
      </w:r>
      <w:r>
        <w:rPr>
          <w:rFonts w:ascii="微软雅黑" w:hAnsi="微软雅黑" w:cs="微软雅黑" w:eastAsia="微软雅黑"/>
          <w:spacing w:val="-53"/>
        </w:rPr>
      </w:r>
      <w:r>
        <w:rPr>
          <w:rFonts w:ascii="微软雅黑" w:hAnsi="微软雅黑" w:cs="微软雅黑" w:eastAsia="微软雅黑"/>
        </w:rPr>
        <w:t>发展机制。</w:t>
      </w:r>
    </w:p>
    <w:p>
      <w:pPr>
        <w:pStyle w:val="BodyText"/>
        <w:spacing w:line="240" w:lineRule="auto" w:before="145"/>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③列表说明近三年专业教师特别是青年教师进行国内外进修访学、小学一线实践锻 </w:t>
      </w:r>
      <w:r>
        <w:rPr>
          <w:spacing w:val="-7"/>
        </w:rPr>
        <w:t>炼、教学技能与方法培训情况，并对培养培训提升教师教学水平效果进行分析（《专</w:t>
      </w:r>
      <w:r>
        <w:rPr>
          <w:spacing w:val="-42"/>
        </w:rPr>
        <w:t> </w:t>
      </w:r>
      <w:r>
        <w:rPr>
          <w:spacing w:val="-42"/>
        </w:rPr>
      </w:r>
      <w:r>
        <w:rPr>
          <w:spacing w:val="-6"/>
        </w:rPr>
        <w:t>业教学状态数据分析报告》有相关数据信息）。</w:t>
      </w:r>
    </w:p>
    <w:p>
      <w:pPr>
        <w:pStyle w:val="BodyText"/>
        <w:spacing w:line="240" w:lineRule="auto" w:before="65"/>
        <w:ind w:right="0"/>
        <w:jc w:val="both"/>
      </w:pPr>
      <w:r>
        <w:rPr/>
        <w:t>④描述说明专业教研组织建设情况（包括组织形式与规模，承担的具体责任，隶属</w:t>
      </w:r>
    </w:p>
    <w:p>
      <w:pPr>
        <w:spacing w:after="0" w:line="240" w:lineRule="auto"/>
        <w:jc w:val="both"/>
        <w:sectPr>
          <w:headerReference w:type="default" r:id="rId47"/>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spacing w:val="-10"/>
        </w:rPr>
        <w:t>关系，以及责任人），及组织开展的专业建设、课程建设、教材建设、教学技能提高、</w:t>
      </w:r>
      <w:r>
        <w:rPr>
          <w:spacing w:val="-40"/>
        </w:rPr>
        <w:t> </w:t>
      </w:r>
      <w:r>
        <w:rPr>
          <w:spacing w:val="-40"/>
        </w:rPr>
      </w: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spacing w:val="-4"/>
        </w:rPr>
        <w:t>⑤以列表方式呈现近三年开展教师自我评价（主要指通过课程评价进行教学改进）、</w:t>
      </w:r>
      <w:r>
        <w:rPr>
          <w:spacing w:val="-32"/>
        </w:rPr>
        <w:t> </w:t>
      </w:r>
      <w:r>
        <w:rPr>
          <w:spacing w:val="-32"/>
        </w:rPr>
      </w:r>
      <w:r>
        <w:rPr/>
        <w:t>学生评价、同行评价、督导评价活动情况及结果。</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⑥描述说明综合评价结果与校内绩效分配、职称晋升的挂钩情况，及对教师教学质 量提升的作用。</w:t>
      </w:r>
    </w:p>
    <w:p>
      <w:pPr>
        <w:spacing w:line="240" w:lineRule="auto" w:before="1"/>
        <w:rPr>
          <w:rFonts w:ascii="华文楷体" w:hAnsi="华文楷体" w:cs="华文楷体" w:eastAsia="华文楷体"/>
          <w:sz w:val="15"/>
          <w:szCs w:val="15"/>
        </w:rPr>
      </w:pPr>
    </w:p>
    <w:p>
      <w:pPr>
        <w:pStyle w:val="BodyText"/>
        <w:spacing w:line="424" w:lineRule="auto"/>
        <w:ind w:right="239"/>
        <w:jc w:val="both"/>
      </w:pPr>
      <w:r>
        <w:rPr/>
        <w:t>⑦描述说明学校探索建设高校和小学“协同教研”“双向互聘”“岗位互换”等共 同发展机制的情况，学校教师分类评价制度建设及运行情况，教师教育实践类课程 教师的评价标准。</w:t>
      </w:r>
    </w:p>
    <w:p>
      <w:pPr>
        <w:spacing w:line="240" w:lineRule="auto" w:before="0"/>
        <w:rPr>
          <w:rFonts w:ascii="华文楷体" w:hAnsi="华文楷体" w:cs="华文楷体" w:eastAsia="华文楷体"/>
          <w:sz w:val="24"/>
          <w:szCs w:val="24"/>
        </w:rPr>
      </w:pPr>
    </w:p>
    <w:p>
      <w:pPr>
        <w:spacing w:line="240" w:lineRule="auto" w:before="0"/>
        <w:rPr>
          <w:rFonts w:ascii="华文楷体" w:hAnsi="华文楷体" w:cs="华文楷体" w:eastAsia="华文楷体"/>
          <w:sz w:val="24"/>
          <w:szCs w:val="24"/>
        </w:rPr>
      </w:pPr>
    </w:p>
    <w:p>
      <w:pPr>
        <w:spacing w:line="240" w:lineRule="auto" w:before="8"/>
        <w:rPr>
          <w:rFonts w:ascii="华文楷体" w:hAnsi="华文楷体" w:cs="华文楷体" w:eastAsia="华文楷体"/>
          <w:sz w:val="17"/>
          <w:szCs w:val="17"/>
        </w:rPr>
      </w:pPr>
    </w:p>
    <w:p>
      <w:pPr>
        <w:pStyle w:val="Heading5"/>
        <w:spacing w:line="240" w:lineRule="auto"/>
        <w:ind w:right="35"/>
        <w:jc w:val="left"/>
        <w:rPr>
          <w:b w:val="0"/>
          <w:bCs w:val="0"/>
        </w:rPr>
      </w:pPr>
      <w:bookmarkStart w:name="第二部分：主要问题" w:id="128"/>
      <w:bookmarkEnd w:id="128"/>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35"/>
        <w:jc w:val="left"/>
        <w:rPr>
          <w:b w:val="0"/>
          <w:bCs w:val="0"/>
        </w:rPr>
      </w:pPr>
      <w:bookmarkStart w:name="第三部分：改进措施" w:id="129"/>
      <w:bookmarkEnd w:id="129"/>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after="0" w:line="312" w:lineRule="exact"/>
        <w:jc w:val="left"/>
        <w:rPr>
          <w:rFonts w:ascii="楷体" w:hAnsi="楷体" w:cs="楷体" w:eastAsia="楷体"/>
        </w:rPr>
        <w:sectPr>
          <w:pgSz w:w="12240" w:h="15840"/>
          <w:pgMar w:header="773" w:footer="700" w:top="960" w:bottom="880" w:left="1680" w:right="156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0"/>
        <w:jc w:val="left"/>
        <w:rPr>
          <w:b w:val="0"/>
          <w:bCs w:val="0"/>
        </w:rPr>
      </w:pPr>
      <w:bookmarkStart w:name="标准6支持条件" w:id="130"/>
      <w:bookmarkEnd w:id="130"/>
      <w:r>
        <w:rPr>
          <w:b w:val="0"/>
          <w:bCs w:val="0"/>
        </w:rPr>
      </w:r>
      <w:r>
        <w:rPr/>
        <w:t>标准 6</w:t>
      </w:r>
      <w:r>
        <w:rPr>
          <w:spacing w:val="-32"/>
        </w:rPr>
        <w:t> </w:t>
      </w:r>
      <w:r>
        <w:rPr/>
        <w:t>支持条件</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left"/>
        <w:rPr>
          <w:b w:val="0"/>
          <w:bCs w:val="0"/>
        </w:rPr>
      </w:pPr>
      <w:bookmarkStart w:name="第一部分：达标情况" w:id="131"/>
      <w:bookmarkEnd w:id="131"/>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38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0"/>
        <w:jc w:val="left"/>
        <w:rPr>
          <w:rFonts w:ascii="微软雅黑" w:hAnsi="微软雅黑" w:cs="微软雅黑" w:eastAsia="微软雅黑"/>
        </w:rPr>
      </w:pPr>
      <w:r>
        <w:rPr>
          <w:rFonts w:ascii="微软雅黑" w:hAnsi="微软雅黑" w:cs="微软雅黑" w:eastAsia="微软雅黑"/>
        </w:rPr>
        <w:t>6.1</w:t>
      </w:r>
      <w:r>
        <w:rPr>
          <w:rFonts w:ascii="微软雅黑" w:hAnsi="微软雅黑" w:cs="微软雅黑" w:eastAsia="微软雅黑"/>
          <w:spacing w:val="2"/>
        </w:rPr>
        <w:t> </w:t>
      </w:r>
      <w:r>
        <w:rPr>
          <w:rFonts w:ascii="微软雅黑" w:hAnsi="微软雅黑" w:cs="微软雅黑" w:eastAsia="微软雅黑"/>
        </w:rPr>
        <w:t>[经费保障]</w:t>
      </w:r>
      <w:r>
        <w:rPr>
          <w:rFonts w:ascii="微软雅黑" w:hAnsi="微软雅黑" w:cs="微软雅黑" w:eastAsia="微软雅黑"/>
          <w:spacing w:val="56"/>
        </w:rPr>
        <w:t> </w:t>
      </w:r>
      <w:r>
        <w:rPr>
          <w:rFonts w:ascii="微软雅黑" w:hAnsi="微软雅黑" w:cs="微软雅黑" w:eastAsia="微软雅黑"/>
        </w:rPr>
        <w:t>专业建设经费满足师范生培养需求，教学日常运行支出占生均拨款</w:t>
      </w:r>
      <w:r>
        <w:rPr>
          <w:rFonts w:ascii="微软雅黑" w:hAnsi="微软雅黑" w:cs="微软雅黑" w:eastAsia="微软雅黑"/>
          <w:spacing w:val="-58"/>
        </w:rPr>
        <w:t> </w:t>
      </w:r>
      <w:r>
        <w:rPr>
          <w:rFonts w:ascii="微软雅黑" w:hAnsi="微软雅黑" w:cs="微软雅黑" w:eastAsia="微软雅黑"/>
          <w:spacing w:val="-58"/>
        </w:rPr>
      </w:r>
      <w:r>
        <w:rPr>
          <w:rFonts w:ascii="微软雅黑" w:hAnsi="微软雅黑" w:cs="微软雅黑" w:eastAsia="微软雅黑"/>
        </w:rPr>
        <w:t>总额与学费收入之和的比例不低于 </w:t>
      </w:r>
      <w:r>
        <w:rPr>
          <w:rFonts w:ascii="微软雅黑" w:hAnsi="微软雅黑" w:cs="微软雅黑" w:eastAsia="微软雅黑"/>
          <w:spacing w:val="-4"/>
        </w:rPr>
        <w:t>13%，生均教学日常运行支出高于学校平均水平，</w:t>
      </w:r>
      <w:r>
        <w:rPr>
          <w:rFonts w:ascii="微软雅黑" w:hAnsi="微软雅黑" w:cs="微软雅黑" w:eastAsia="微软雅黑"/>
        </w:rPr>
        <w:t> 生均教育实践经费支出高于学校平均水平。教学设施设备和图书资料等更新经费有 标准和预决算。</w:t>
      </w:r>
    </w:p>
    <w:p>
      <w:pPr>
        <w:pStyle w:val="BodyText"/>
        <w:spacing w:line="240" w:lineRule="auto" w:before="143"/>
        <w:ind w:right="0"/>
        <w:jc w:val="left"/>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②描述说明学校在学生实验、实习和毕业论文（设计）上的生均经费投入情况及满 足专业教学需要情况。</w:t>
      </w:r>
    </w:p>
    <w:p>
      <w:pPr>
        <w:pStyle w:val="BodyText"/>
        <w:spacing w:line="240" w:lineRule="auto" w:before="65"/>
        <w:ind w:right="0"/>
        <w:jc w:val="left"/>
      </w:pPr>
      <w:r>
        <w:rPr/>
        <w:t>③列表说明近三年学校和院系用于专业教学的经费收支情况。</w:t>
      </w:r>
    </w:p>
    <w:p>
      <w:pPr>
        <w:spacing w:line="240" w:lineRule="auto" w:before="3"/>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2"/>
        <w:rPr>
          <w:rFonts w:ascii="华文楷体" w:hAnsi="华文楷体" w:cs="华文楷体" w:eastAsia="华文楷体"/>
          <w:sz w:val="21"/>
          <w:szCs w:val="21"/>
        </w:rPr>
      </w:pPr>
    </w:p>
    <w:p>
      <w:pPr>
        <w:pStyle w:val="BodyText"/>
        <w:spacing w:line="354" w:lineRule="exact"/>
        <w:ind w:right="0"/>
        <w:jc w:val="left"/>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教育教学设施满足师范生培养要求。建有小学教育专业教师职业技</w:t>
      </w:r>
    </w:p>
    <w:p>
      <w:pPr>
        <w:pStyle w:val="BodyText"/>
        <w:spacing w:line="414" w:lineRule="exact"/>
        <w:ind w:right="0"/>
        <w:jc w:val="left"/>
        <w:rPr>
          <w:rFonts w:ascii="微软雅黑" w:hAnsi="微软雅黑" w:cs="微软雅黑" w:eastAsia="微软雅黑"/>
        </w:rPr>
      </w:pPr>
      <w:r>
        <w:rPr>
          <w:rFonts w:ascii="微软雅黑" w:hAnsi="微软雅黑" w:cs="微软雅黑" w:eastAsia="微软雅黑"/>
          <w:spacing w:val="-4"/>
        </w:rPr>
        <w:t>能实训平台，满足“三字一话”、微格教学、实验教学、艺术教育等实践教学需要。</w:t>
      </w:r>
    </w:p>
    <w:p>
      <w:pPr>
        <w:spacing w:after="0" w:line="414" w:lineRule="exact"/>
        <w:jc w:val="left"/>
        <w:rPr>
          <w:rFonts w:ascii="微软雅黑" w:hAnsi="微软雅黑" w:cs="微软雅黑" w:eastAsia="微软雅黑"/>
        </w:rPr>
        <w:sectPr>
          <w:pgSz w:w="12240" w:h="15840"/>
          <w:pgMar w:header="773" w:footer="700" w:top="960" w:bottom="880" w:left="1680" w:right="1440"/>
        </w:sectPr>
      </w:pPr>
    </w:p>
    <w:p>
      <w:pPr>
        <w:spacing w:line="240" w:lineRule="auto" w:before="9"/>
        <w:rPr>
          <w:rFonts w:ascii="微软雅黑" w:hAnsi="微软雅黑" w:cs="微软雅黑" w:eastAsia="微软雅黑"/>
          <w:sz w:val="27"/>
          <w:szCs w:val="27"/>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spacing w:val="-4"/>
        </w:rPr>
        <w:t>信息化教育设施能够适应师范生信息素养培养要求。建有教育教学设施管理、维护、</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更新和共享机制，方便师范生使用。</w:t>
      </w:r>
    </w:p>
    <w:p>
      <w:pPr>
        <w:pStyle w:val="BodyText"/>
        <w:spacing w:line="424" w:lineRule="auto" w:before="144"/>
        <w:ind w:right="239"/>
        <w:jc w:val="both"/>
      </w:pPr>
      <w:r>
        <w:rPr/>
        <w:t>①列表说明学校和院系用于小学教育专业教学的主要教学实验室、小学教育专业教 </w:t>
      </w:r>
      <w:r>
        <w:rPr>
          <w:spacing w:val="-7"/>
        </w:rPr>
        <w:t>师职业技能实训平台和在线教学观摩指导平台，满足“三字一话”、微格教学、实验</w:t>
      </w:r>
      <w:r>
        <w:rPr>
          <w:spacing w:val="-43"/>
        </w:rPr>
        <w:t> </w:t>
      </w:r>
      <w:r>
        <w:rPr>
          <w:spacing w:val="-43"/>
        </w:rPr>
      </w:r>
      <w:r>
        <w:rPr>
          <w:spacing w:val="-7"/>
        </w:rPr>
        <w:t>教学、远程见习等实践教学需要情况。（《专业教学状态数据分析报告》有相关数据</w:t>
      </w:r>
      <w:r>
        <w:rPr>
          <w:spacing w:val="-41"/>
        </w:rPr>
        <w:t> </w:t>
      </w:r>
      <w:r>
        <w:rPr>
          <w:spacing w:val="-41"/>
        </w:rPr>
      </w:r>
      <w:r>
        <w:rPr/>
        <w:t>信息）</w:t>
      </w:r>
    </w:p>
    <w:p>
      <w:pPr>
        <w:pStyle w:val="BodyText"/>
        <w:spacing w:line="424" w:lineRule="auto" w:before="65"/>
        <w:ind w:right="239"/>
        <w:jc w:val="both"/>
      </w:pPr>
      <w:r>
        <w:rPr/>
        <w:t>②描述说明现代信息技术与专业教学工作进行融合用以支撑教学改革与师范生学习 方式转变情况。</w:t>
      </w:r>
    </w:p>
    <w:p>
      <w:pPr>
        <w:pStyle w:val="BodyText"/>
        <w:spacing w:line="424" w:lineRule="auto" w:before="65"/>
        <w:ind w:right="239"/>
        <w:jc w:val="both"/>
      </w:pPr>
      <w:r>
        <w:rPr/>
        <w:t>③描述说明这些资源是否满足专业教师和学生教学需求，专业与资源管理部门的信 息沟通渠道，以及专业设施使用绩效评价考核机制。</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专业教学资源满足师范生培养需要，数字化教学资源较为丰富，使</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用率较高。生均教育类纸质图书不少于 30</w:t>
      </w:r>
      <w:r>
        <w:rPr>
          <w:rFonts w:ascii="微软雅黑" w:hAnsi="微软雅黑" w:cs="微软雅黑" w:eastAsia="微软雅黑"/>
          <w:spacing w:val="43"/>
        </w:rPr>
        <w:t> </w:t>
      </w:r>
      <w:r>
        <w:rPr>
          <w:rFonts w:ascii="微软雅黑" w:hAnsi="微软雅黑" w:cs="微软雅黑" w:eastAsia="微软雅黑"/>
        </w:rPr>
        <w:t>册。建有小学教材资源库和优秀小学教</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育教学案例库，其中现行小学课程标准和教材每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424" w:lineRule="auto" w:before="142"/>
        <w:ind w:right="239"/>
        <w:jc w:val="both"/>
      </w:pPr>
      <w:r>
        <w:rPr/>
        <w:t>①描述说明小学教育专业相关多媒体教育设施和数字化教学资源建设和使用，以及 满足师范生学习需要情况。</w:t>
      </w:r>
    </w:p>
    <w:p>
      <w:pPr>
        <w:pStyle w:val="BodyText"/>
        <w:spacing w:line="424" w:lineRule="auto" w:before="65"/>
        <w:ind w:right="239"/>
        <w:jc w:val="both"/>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239"/>
        <w:jc w:val="both"/>
      </w:pPr>
      <w:r>
        <w:rPr/>
        <w:t>③描述说明用于教学设施和图书资料等更新的经费标准和预决算情况，特别是小学 教材资源库和优秀小学教育教学案例库，国内外多种版本小学教材建设情况、使用 与激励机制。</w:t>
      </w:r>
    </w:p>
    <w:p>
      <w:pPr>
        <w:pStyle w:val="Heading5"/>
        <w:spacing w:line="240" w:lineRule="auto" w:before="183"/>
        <w:ind w:right="0"/>
        <w:jc w:val="both"/>
        <w:rPr>
          <w:b w:val="0"/>
          <w:bCs w:val="0"/>
        </w:rPr>
      </w:pPr>
      <w:bookmarkStart w:name="第二部分：主要问题" w:id="132"/>
      <w:bookmarkEnd w:id="132"/>
      <w:r>
        <w:rPr>
          <w:b w:val="0"/>
          <w:bCs w:val="0"/>
        </w:rPr>
      </w:r>
      <w:r>
        <w:rPr/>
        <w:t>第二部分：主要问题</w:t>
      </w:r>
      <w:r>
        <w:rPr>
          <w:b w:val="0"/>
          <w:bCs w:val="0"/>
        </w:rPr>
      </w:r>
    </w:p>
    <w:p>
      <w:pPr>
        <w:spacing w:line="240" w:lineRule="auto" w:before="1"/>
        <w:rPr>
          <w:rFonts w:ascii="微软雅黑" w:hAnsi="微软雅黑" w:cs="微软雅黑" w:eastAsia="微软雅黑"/>
          <w:b/>
          <w:bCs/>
          <w:sz w:val="17"/>
          <w:szCs w:val="17"/>
        </w:rPr>
      </w:pPr>
    </w:p>
    <w:p>
      <w:pPr>
        <w:spacing w:before="0"/>
        <w:ind w:left="120" w:right="0" w:firstLine="0"/>
        <w:jc w:val="both"/>
        <w:rPr>
          <w:rFonts w:ascii="楷体" w:hAnsi="楷体" w:cs="楷体" w:eastAsia="楷体"/>
          <w:sz w:val="21"/>
          <w:szCs w:val="21"/>
        </w:rPr>
      </w:pPr>
      <w:r>
        <w:rPr>
          <w:rFonts w:ascii="楷体" w:hAnsi="楷体" w:cs="楷体" w:eastAsia="楷体"/>
          <w:sz w:val="21"/>
          <w:szCs w:val="21"/>
        </w:rPr>
        <w:t>（请根据上述逐条对标情况，按标准条文明确清晰地描述分析专业对标自评中发现的问题与不</w:t>
      </w:r>
    </w:p>
    <w:p>
      <w:pPr>
        <w:spacing w:after="0"/>
        <w:jc w:val="both"/>
        <w:rPr>
          <w:rFonts w:ascii="楷体" w:hAnsi="楷体" w:cs="楷体" w:eastAsia="楷体"/>
          <w:sz w:val="21"/>
          <w:szCs w:val="21"/>
        </w:rPr>
        <w:sectPr>
          <w:pgSz w:w="12240" w:h="15840"/>
          <w:pgMar w:header="773" w:footer="700" w:top="960" w:bottom="880" w:left="1680" w:right="1560"/>
        </w:sectPr>
      </w:pPr>
    </w:p>
    <w:p>
      <w:pPr>
        <w:spacing w:line="240" w:lineRule="auto" w:before="0"/>
        <w:rPr>
          <w:rFonts w:ascii="楷体" w:hAnsi="楷体" w:cs="楷体" w:eastAsia="楷体"/>
          <w:sz w:val="6"/>
          <w:szCs w:val="6"/>
        </w:rPr>
      </w:pPr>
    </w:p>
    <w:p>
      <w:pPr>
        <w:spacing w:line="20" w:lineRule="exact"/>
        <w:ind w:left="112" w:right="0" w:firstLine="0"/>
        <w:rPr>
          <w:rFonts w:ascii="楷体" w:hAnsi="楷体" w:cs="楷体" w:eastAsia="楷体"/>
          <w:sz w:val="2"/>
          <w:szCs w:val="2"/>
        </w:rPr>
      </w:pPr>
      <w:r>
        <w:rPr>
          <w:rFonts w:ascii="楷体" w:hAnsi="楷体" w:cs="楷体" w:eastAsia="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楷体" w:hAnsi="楷体" w:cs="楷体" w:eastAsia="楷体"/>
          <w:sz w:val="2"/>
          <w:szCs w:val="2"/>
        </w:rPr>
      </w:r>
    </w:p>
    <w:p>
      <w:pPr>
        <w:spacing w:line="240" w:lineRule="auto" w:before="0"/>
        <w:rPr>
          <w:rFonts w:ascii="楷体" w:hAnsi="楷体" w:cs="楷体" w:eastAsia="楷体"/>
          <w:sz w:val="20"/>
          <w:szCs w:val="20"/>
        </w:rPr>
      </w:pPr>
    </w:p>
    <w:p>
      <w:pPr>
        <w:spacing w:line="240" w:lineRule="auto" w:before="2"/>
        <w:rPr>
          <w:rFonts w:ascii="楷体" w:hAnsi="楷体" w:cs="楷体" w:eastAsia="楷体"/>
          <w:sz w:val="14"/>
          <w:szCs w:val="14"/>
        </w:rPr>
      </w:pPr>
    </w:p>
    <w:p>
      <w:pPr>
        <w:spacing w:before="0"/>
        <w:ind w:left="120" w:right="0" w:firstLine="0"/>
        <w:jc w:val="both"/>
        <w:rPr>
          <w:rFonts w:ascii="楷体" w:hAnsi="楷体" w:cs="楷体" w:eastAsia="楷体"/>
          <w:sz w:val="21"/>
          <w:szCs w:val="21"/>
        </w:rPr>
      </w:pP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8"/>
        <w:rPr>
          <w:rFonts w:ascii="楷体" w:hAnsi="楷体" w:cs="楷体" w:eastAsia="楷体"/>
          <w:sz w:val="19"/>
          <w:szCs w:val="19"/>
        </w:rPr>
      </w:pPr>
    </w:p>
    <w:p>
      <w:pPr>
        <w:pStyle w:val="Heading5"/>
        <w:spacing w:line="240" w:lineRule="auto"/>
        <w:ind w:right="0"/>
        <w:jc w:val="both"/>
        <w:rPr>
          <w:b w:val="0"/>
          <w:bCs w:val="0"/>
        </w:rPr>
      </w:pPr>
      <w:bookmarkStart w:name="第三部分：改进措施" w:id="133"/>
      <w:bookmarkEnd w:id="133"/>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7质量保障" w:id="134"/>
      <w:bookmarkEnd w:id="134"/>
      <w:r>
        <w:rPr>
          <w:b w:val="0"/>
          <w:bCs w:val="0"/>
        </w:rPr>
      </w:r>
      <w:r>
        <w:rPr/>
        <w:t>标准 7</w:t>
      </w:r>
      <w:r>
        <w:rPr>
          <w:spacing w:val="-32"/>
        </w:rPr>
        <w:t> </w:t>
      </w:r>
      <w:r>
        <w:rPr/>
        <w:t>质量保障</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35"/>
      <w:bookmarkEnd w:id="135"/>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0"/>
        <w:jc w:val="left"/>
        <w:rPr>
          <w:rFonts w:ascii="微软雅黑" w:hAnsi="微软雅黑" w:cs="微软雅黑" w:eastAsia="微软雅黑"/>
        </w:rPr>
      </w:pPr>
      <w:r>
        <w:rPr>
          <w:rFonts w:ascii="微软雅黑" w:hAnsi="微软雅黑" w:cs="微软雅黑" w:eastAsia="微软雅黑"/>
        </w:rPr>
        <w:t>7.1 [保障体系] 建立教学质量保障体系，各主要教学环节有明确的质量要求。质量 保障目标清晰，任务明确，机构健全，责任到人，能够有效支持毕业要求达成。</w:t>
      </w:r>
    </w:p>
    <w:p>
      <w:pPr>
        <w:pStyle w:val="BodyText"/>
        <w:spacing w:line="240" w:lineRule="auto" w:before="125"/>
        <w:ind w:right="0"/>
        <w:jc w:val="both"/>
      </w:pPr>
      <w:r>
        <w:rPr/>
        <w:t>①描述说明学校和院系两级教学质量保障体系架构与运行方式。</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②描述说明学校和院系两级教学质量保障机构、目标、任务、职责分工、责任人及 对专业毕业要求所起的支持作用。</w:t>
      </w:r>
    </w:p>
    <w:p>
      <w:pPr>
        <w:pStyle w:val="BodyText"/>
        <w:spacing w:line="424" w:lineRule="auto" w:before="65"/>
        <w:ind w:right="0"/>
        <w:jc w:val="left"/>
      </w:pPr>
      <w:r>
        <w:rPr/>
        <w:pict>
          <v:shape style="position:absolute;margin-left:89.760002pt;margin-top:60.877506pt;width:411.85pt;height:95.6pt;mso-position-horizontal-relative:page;mso-position-vertical-relative:paragraph;z-index:140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sz w:val="23"/>
                            <w:szCs w:val="23"/>
                          </w:rPr>
                        </w:pPr>
                      </w:p>
                      <w:p>
                        <w:pPr>
                          <w:pStyle w:val="TableParagraph"/>
                          <w:spacing w:line="240" w:lineRule="auto"/>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
                          <w:ind w:right="0"/>
                          <w:jc w:val="left"/>
                          <w:rPr>
                            <w:rFonts w:ascii="微软雅黑" w:hAnsi="微软雅黑" w:cs="微软雅黑" w:eastAsia="微软雅黑"/>
                            <w:sz w:val="18"/>
                            <w:szCs w:val="18"/>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1"/>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
                          <w:ind w:right="0"/>
                          <w:jc w:val="left"/>
                          <w:rPr>
                            <w:rFonts w:ascii="微软雅黑" w:hAnsi="微软雅黑" w:cs="微软雅黑" w:eastAsia="微软雅黑"/>
                            <w:sz w:val="9"/>
                            <w:szCs w:val="9"/>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sz w:val="23"/>
                            <w:szCs w:val="23"/>
                          </w:rPr>
                        </w:pPr>
                      </w:p>
                      <w:p>
                        <w:pPr>
                          <w:pStyle w:val="TableParagraph"/>
                          <w:spacing w:line="240" w:lineRule="auto"/>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240" w:lineRule="auto" w:before="92"/>
        <w:ind w:right="0"/>
        <w:jc w:val="left"/>
        <w:rPr>
          <w:rFonts w:ascii="微软雅黑" w:hAnsi="微软雅黑" w:cs="微软雅黑" w:eastAsia="微软雅黑"/>
        </w:rPr>
      </w:pPr>
      <w:r>
        <w:rPr>
          <w:rFonts w:ascii="微软雅黑" w:hAnsi="微软雅黑" w:cs="微软雅黑" w:eastAsia="微软雅黑"/>
        </w:rPr>
        <w:t>7.2 [内部监控] </w:t>
      </w:r>
      <w:r>
        <w:rPr>
          <w:rFonts w:ascii="微软雅黑" w:hAnsi="微软雅黑" w:cs="微软雅黑" w:eastAsia="微软雅黑"/>
          <w:spacing w:val="2"/>
        </w:rPr>
        <w:t> </w:t>
      </w:r>
      <w:r>
        <w:rPr>
          <w:rFonts w:ascii="微软雅黑" w:hAnsi="微软雅黑" w:cs="微软雅黑" w:eastAsia="微软雅黑"/>
        </w:rPr>
        <w:t>建立教学过程质量常态化监控机制，定期对各主要教学环节质量实</w:t>
      </w:r>
    </w:p>
    <w:p>
      <w:pPr>
        <w:spacing w:after="0" w:line="240" w:lineRule="auto"/>
        <w:jc w:val="left"/>
        <w:rPr>
          <w:rFonts w:ascii="微软雅黑" w:hAnsi="微软雅黑" w:cs="微软雅黑" w:eastAsia="微软雅黑"/>
        </w:rPr>
        <w:sectPr>
          <w:headerReference w:type="default" r:id="rId48"/>
          <w:footerReference w:type="default" r:id="rId49"/>
          <w:pgSz w:w="12240" w:h="15840"/>
          <w:pgMar w:header="0" w:footer="700" w:top="880" w:bottom="880" w:left="1680" w:right="1680"/>
          <w:pgNumType w:start="17"/>
        </w:sectPr>
      </w:pPr>
    </w:p>
    <w:p>
      <w:pPr>
        <w:pStyle w:val="BodyText"/>
        <w:spacing w:line="424" w:lineRule="auto" w:before="63"/>
        <w:ind w:right="239"/>
        <w:jc w:val="both"/>
      </w:pPr>
      <w:r>
        <w:rPr/>
        <w:t>①描述说明学校和院系两级教学质量监控与评价机制的建立情况，列出教学管理和 质量保障规章制度。</w:t>
      </w:r>
    </w:p>
    <w:p>
      <w:pPr>
        <w:pStyle w:val="BodyText"/>
        <w:spacing w:line="424" w:lineRule="auto" w:before="65"/>
        <w:ind w:right="119"/>
        <w:jc w:val="both"/>
      </w:pPr>
      <w:r>
        <w:rPr/>
        <w:t>②描述说明学校和院系两级定期开展专业教学质量评价（重点监控专业开展的课程 评价和毕业要求达成评价）情况，包括评估评价周期、评估评价对象、评估评价内 </w:t>
      </w:r>
      <w:r>
        <w:rPr>
          <w:spacing w:val="-4"/>
        </w:rPr>
        <w:t>容、评估评价渠道等，以及最近一次开展的专业教学质量评价的内容、方法和结果。</w:t>
      </w:r>
    </w:p>
    <w:p>
      <w:pPr>
        <w:pStyle w:val="BodyText"/>
        <w:spacing w:line="424" w:lineRule="auto" w:before="65"/>
        <w:ind w:right="239"/>
        <w:jc w:val="both"/>
      </w:pPr>
      <w:r>
        <w:rPr/>
        <w:t>③描述说明专业毕业要求达成的评价机制和方法，包括评价制度、评价周期、评价 </w:t>
      </w:r>
      <w:r>
        <w:rPr>
          <w:spacing w:val="-7"/>
        </w:rPr>
        <w:t>依据（主要来源于课程目标达成评价结果）、评价程序、评价方法和评价责任人。针</w:t>
      </w:r>
      <w:r>
        <w:rPr>
          <w:spacing w:val="-43"/>
        </w:rPr>
        <w:t> </w:t>
      </w:r>
      <w:r>
        <w:rPr>
          <w:spacing w:val="-43"/>
        </w:rPr>
      </w: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2400" w:right="35"/>
        <w:jc w:val="left"/>
      </w:pPr>
      <w:r>
        <w:rPr/>
        <w:t>最近一次毕业要求达成度评价的依据表</w:t>
      </w:r>
    </w:p>
    <w:p>
      <w:pPr>
        <w:spacing w:line="240" w:lineRule="auto" w:before="2"/>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650"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1"/>
              <w:ind w:left="352" w:right="143" w:hanging="212"/>
              <w:jc w:val="left"/>
              <w:rPr>
                <w:rFonts w:ascii="楷体" w:hAnsi="楷体" w:cs="楷体" w:eastAsia="楷体"/>
                <w:sz w:val="21"/>
                <w:szCs w:val="21"/>
              </w:rPr>
            </w:pPr>
            <w:r>
              <w:rPr>
                <w:rFonts w:ascii="楷体" w:hAnsi="楷体" w:cs="楷体" w:eastAsia="楷体"/>
                <w:sz w:val="21"/>
                <w:szCs w:val="21"/>
              </w:rPr>
              <w:t>专业毕业</w:t>
            </w:r>
            <w:r>
              <w:rPr>
                <w:rFonts w:ascii="楷体" w:hAnsi="楷体" w:cs="楷体" w:eastAsia="楷体"/>
                <w:w w:val="99"/>
                <w:sz w:val="21"/>
                <w:szCs w:val="21"/>
              </w:rPr>
              <w:t> </w:t>
            </w: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1"/>
              <w:ind w:left="296" w:right="296" w:firstLine="105"/>
              <w:jc w:val="left"/>
              <w:rPr>
                <w:rFonts w:ascii="楷体" w:hAnsi="楷体" w:cs="楷体" w:eastAsia="楷体"/>
                <w:sz w:val="21"/>
                <w:szCs w:val="21"/>
              </w:rPr>
            </w:pPr>
            <w:r>
              <w:rPr>
                <w:rFonts w:ascii="楷体" w:hAnsi="楷体" w:cs="楷体" w:eastAsia="楷体"/>
                <w:sz w:val="21"/>
                <w:szCs w:val="21"/>
              </w:rPr>
              <w:t>评价</w:t>
            </w:r>
            <w:r>
              <w:rPr>
                <w:rFonts w:ascii="楷体" w:hAnsi="楷体" w:cs="楷体" w:eastAsia="楷体"/>
                <w:w w:val="99"/>
                <w:sz w:val="21"/>
                <w:szCs w:val="21"/>
              </w:rPr>
              <w:t> </w:t>
            </w: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1"/>
              <w:ind w:left="323" w:right="323"/>
              <w:jc w:val="left"/>
              <w:rPr>
                <w:rFonts w:ascii="楷体" w:hAnsi="楷体" w:cs="楷体" w:eastAsia="楷体"/>
                <w:sz w:val="21"/>
                <w:szCs w:val="21"/>
              </w:rPr>
            </w:pPr>
            <w:r>
              <w:rPr>
                <w:rFonts w:ascii="楷体" w:hAnsi="楷体" w:cs="楷体" w:eastAsia="楷体"/>
                <w:sz w:val="21"/>
                <w:szCs w:val="21"/>
              </w:rPr>
              <w:t>课程考</w:t>
            </w:r>
            <w:r>
              <w:rPr>
                <w:rFonts w:ascii="楷体" w:hAnsi="楷体" w:cs="楷体" w:eastAsia="楷体"/>
                <w:w w:val="99"/>
                <w:sz w:val="21"/>
                <w:szCs w:val="21"/>
              </w:rPr>
              <w:t> </w:t>
            </w: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1"/>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69"/>
              <w:ind w:left="252" w:right="0"/>
              <w:jc w:val="left"/>
              <w:rPr>
                <w:rFonts w:ascii="楷体" w:hAnsi="楷体" w:cs="楷体" w:eastAsia="楷体"/>
                <w:sz w:val="21"/>
                <w:szCs w:val="21"/>
              </w:rPr>
            </w:pPr>
            <w:r>
              <w:rPr>
                <w:rFonts w:ascii="楷体" w:hAnsi="楷体" w:cs="楷体" w:eastAsia="楷体"/>
                <w:sz w:val="21"/>
                <w:szCs w:val="21"/>
              </w:rPr>
              <w:t>形成的记录文档</w:t>
            </w: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3"/>
        <w:rPr>
          <w:rFonts w:ascii="华文楷体" w:hAnsi="华文楷体" w:cs="华文楷体" w:eastAsia="华文楷体"/>
          <w:sz w:val="6"/>
          <w:szCs w:val="6"/>
        </w:rPr>
      </w:pPr>
    </w:p>
    <w:p>
      <w:pPr>
        <w:spacing w:line="344" w:lineRule="exact" w:before="0"/>
        <w:ind w:left="240" w:right="35"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④描述说明学校和院系两级运用信息技术全过程监控与评价专业教学过程用以保障 专业毕业要求达成的情况。</w:t>
      </w:r>
    </w:p>
    <w:p>
      <w:pPr>
        <w:pStyle w:val="BodyText"/>
        <w:spacing w:line="333" w:lineRule="exact"/>
        <w:ind w:right="35"/>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建立毕业生跟踪反馈机制以及基础教育机构、教育行政部门等利益</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相关方参与的社会评价机制，对培养目标的达成度进行定期评价。</w:t>
      </w:r>
    </w:p>
    <w:p>
      <w:pPr>
        <w:pStyle w:val="BodyText"/>
        <w:spacing w:line="240" w:lineRule="auto" w:before="144"/>
        <w:ind w:right="35"/>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spacing w:val="-4"/>
        </w:rPr>
        <w:t>②描述说明小学、教育行政部门等利益相关方参与的多元社会评价机制的建立情况。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③描述说明培养目标达成评价的方法、周期以及最近一次毕业生、小学、教育行政</w:t>
      </w:r>
    </w:p>
    <w:p>
      <w:pPr>
        <w:spacing w:after="0" w:line="240" w:lineRule="auto"/>
        <w:jc w:val="left"/>
        <w:sectPr>
          <w:headerReference w:type="default" r:id="rId50"/>
          <w:pgSz w:w="12240" w:h="15840"/>
          <w:pgMar w:header="959" w:footer="700" w:top="1880" w:bottom="880" w:left="1680" w:right="1560"/>
        </w:sectPr>
      </w:pPr>
    </w:p>
    <w:p>
      <w:pPr>
        <w:spacing w:line="240" w:lineRule="auto" w:before="14"/>
        <w:rPr>
          <w:rFonts w:ascii="华文楷体" w:hAnsi="华文楷体" w:cs="华文楷体" w:eastAsia="华文楷体"/>
          <w:sz w:val="12"/>
          <w:szCs w:val="12"/>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推动师范生培养质量持续改进和提高。</w:t>
      </w:r>
    </w:p>
    <w:p>
      <w:pPr>
        <w:pStyle w:val="BodyText"/>
        <w:spacing w:line="424" w:lineRule="auto" w:before="144"/>
        <w:ind w:right="0"/>
        <w:jc w:val="left"/>
      </w:pPr>
      <w:r>
        <w:rPr>
          <w:spacing w:val="-2"/>
        </w:rPr>
        <w:t>①.描述说明专业近三年综合分析内部质量监控和外部评价结果，用于推动师范生培</w:t>
      </w:r>
      <w:r>
        <w:rPr>
          <w:spacing w:val="-39"/>
        </w:rPr>
        <w:t> </w:t>
      </w:r>
      <w:r>
        <w:rPr>
          <w:spacing w:val="-39"/>
        </w:rPr>
      </w:r>
      <w:r>
        <w:rPr/>
        <w:t>养质量持续改进和提高的情况，并举例说明。</w:t>
      </w:r>
    </w:p>
    <w:p>
      <w:pPr>
        <w:pStyle w:val="BodyText"/>
        <w:spacing w:line="240" w:lineRule="auto" w:before="65"/>
        <w:ind w:right="0"/>
        <w:jc w:val="both"/>
      </w:pPr>
      <w:r>
        <w:rPr/>
        <w:t>②描述说明专业推进持续改进、追求卓越的质量文化建设的情况，并举例说明。</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136"/>
      <w:bookmarkEnd w:id="136"/>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7"/>
        <w:ind w:right="0"/>
        <w:jc w:val="both"/>
        <w:rPr>
          <w:b w:val="0"/>
          <w:bCs w:val="0"/>
        </w:rPr>
      </w:pPr>
      <w:bookmarkStart w:name="第三部分：改进措施" w:id="137"/>
      <w:bookmarkEnd w:id="137"/>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138"/>
      <w:bookmarkEnd w:id="138"/>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39"/>
      <w:bookmarkEnd w:id="139"/>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40" w:lineRule="auto" w:before="127"/>
        <w:ind w:right="0"/>
        <w:jc w:val="both"/>
        <w:rPr>
          <w:rFonts w:ascii="微软雅黑" w:hAnsi="微软雅黑" w:cs="微软雅黑" w:eastAsia="微软雅黑"/>
        </w:rPr>
      </w:pPr>
      <w:r>
        <w:rPr>
          <w:rFonts w:ascii="微软雅黑" w:hAnsi="微软雅黑" w:cs="微软雅黑" w:eastAsia="微软雅黑"/>
        </w:rPr>
        <w:t>8.1 [生源质量]</w:t>
      </w:r>
      <w:r>
        <w:rPr>
          <w:rFonts w:ascii="微软雅黑" w:hAnsi="微软雅黑" w:cs="微软雅黑" w:eastAsia="微软雅黑"/>
          <w:spacing w:val="45"/>
        </w:rPr>
        <w:t> </w:t>
      </w:r>
      <w:r>
        <w:rPr>
          <w:rFonts w:ascii="微软雅黑" w:hAnsi="微软雅黑" w:cs="微软雅黑" w:eastAsia="微软雅黑"/>
        </w:rPr>
        <w:t>建立有效的制度措施，能够吸引志愿从教、素质良好的生源。</w:t>
      </w:r>
    </w:p>
    <w:p>
      <w:pPr>
        <w:pStyle w:val="BodyText"/>
        <w:spacing w:line="240" w:lineRule="auto" w:before="5"/>
        <w:ind w:right="0"/>
        <w:jc w:val="both"/>
      </w:pPr>
      <w:r>
        <w:rPr/>
        <w:t>①列表说明专业近三年生源情况。</w:t>
      </w:r>
    </w:p>
    <w:p>
      <w:pPr>
        <w:spacing w:line="240" w:lineRule="auto" w:before="11"/>
        <w:rPr>
          <w:rFonts w:ascii="华文楷体" w:hAnsi="华文楷体" w:cs="华文楷体" w:eastAsia="华文楷体"/>
          <w:sz w:val="2"/>
          <w:szCs w:val="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4"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51"/>
          <w:pgSz w:w="12240" w:h="15840"/>
          <w:pgMar w:header="959" w:footer="700" w:top="1880" w:bottom="880" w:left="1680" w:right="1680"/>
        </w:sectPr>
      </w:pPr>
    </w:p>
    <w:p>
      <w:pPr>
        <w:spacing w:line="240" w:lineRule="auto" w:before="5"/>
        <w:rPr>
          <w:rFonts w:ascii="华文楷体" w:hAnsi="华文楷体" w:cs="华文楷体" w:eastAsia="华文楷体"/>
          <w:sz w:val="29"/>
          <w:szCs w:val="29"/>
        </w:rPr>
      </w:pPr>
    </w:p>
    <w:p>
      <w:pPr>
        <w:pStyle w:val="BodyText"/>
        <w:spacing w:line="350" w:lineRule="exact" w:before="2"/>
        <w:ind w:right="119"/>
        <w:jc w:val="both"/>
      </w:pPr>
      <w:r>
        <w:rPr/>
        <w:t>②描述说明学校和院系两级建立符合小学教育专业和教师教育特点、吸引乐教、适 教的优秀生源制度措施及效果情况。</w:t>
      </w:r>
    </w:p>
    <w:p>
      <w:pPr>
        <w:spacing w:line="240" w:lineRule="auto" w:before="11"/>
        <w:rPr>
          <w:rFonts w:ascii="华文楷体" w:hAnsi="华文楷体" w:cs="华文楷体" w:eastAsia="华文楷体"/>
          <w:sz w:val="26"/>
          <w:szCs w:val="26"/>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8.2 [学生需求] 了解师范生发展诉求，加强学情分析，设计兼顾共性要求与个性需 求的培养方案与教学管理制度，为师范生发展提供空间。</w:t>
      </w:r>
    </w:p>
    <w:p>
      <w:pPr>
        <w:spacing w:line="240" w:lineRule="auto" w:before="5"/>
        <w:rPr>
          <w:rFonts w:ascii="微软雅黑" w:hAnsi="微软雅黑" w:cs="微软雅黑" w:eastAsia="微软雅黑"/>
          <w:sz w:val="17"/>
          <w:szCs w:val="17"/>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建立师范生指导与服务体系，加强思想政治教育，能够适时为师范</w:t>
      </w:r>
    </w:p>
    <w:p>
      <w:pPr>
        <w:pStyle w:val="BodyText"/>
        <w:spacing w:line="240" w:lineRule="auto"/>
        <w:ind w:right="119"/>
        <w:jc w:val="both"/>
        <w:rPr>
          <w:rFonts w:ascii="微软雅黑" w:hAnsi="微软雅黑" w:cs="微软雅黑" w:eastAsia="微软雅黑"/>
        </w:rPr>
      </w:pPr>
      <w:r>
        <w:rPr>
          <w:rFonts w:ascii="微软雅黑" w:hAnsi="微软雅黑" w:cs="微软雅黑" w:eastAsia="微软雅黑"/>
        </w:rPr>
        <w:t>生提供生活指导、学习指导、职业生涯指导、就业创业指导、心理健康指导等，满 足师范生成长需求。</w:t>
      </w:r>
    </w:p>
    <w:p>
      <w:pPr>
        <w:pStyle w:val="BodyText"/>
        <w:spacing w:line="240" w:lineRule="auto" w:before="142"/>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建立形成性评价机制，监测师范生的学习进展情况，保证师范生在</w:t>
      </w:r>
    </w:p>
    <w:p>
      <w:pPr>
        <w:pStyle w:val="BodyText"/>
        <w:spacing w:line="414" w:lineRule="exact"/>
        <w:ind w:right="0"/>
        <w:jc w:val="both"/>
        <w:rPr>
          <w:rFonts w:ascii="微软雅黑" w:hAnsi="微软雅黑" w:cs="微软雅黑" w:eastAsia="微软雅黑"/>
        </w:rPr>
      </w:pPr>
      <w:r>
        <w:rPr>
          <w:rFonts w:ascii="微软雅黑" w:hAnsi="微软雅黑" w:cs="微软雅黑" w:eastAsia="微软雅黑"/>
        </w:rPr>
        <w:t>毕业时达到毕业要求。</w:t>
      </w:r>
    </w:p>
    <w:p>
      <w:pPr>
        <w:pStyle w:val="BodyText"/>
        <w:spacing w:line="424" w:lineRule="auto" w:before="142"/>
        <w:ind w:right="119"/>
        <w:jc w:val="both"/>
      </w:pPr>
      <w:r>
        <w:rPr/>
        <w:t>①描述说明师范生形成性评价机制的建立情况，及对师范生在整个学习过程中的表 现进行跟踪与评估情况及实施成效。</w:t>
      </w:r>
    </w:p>
    <w:p>
      <w:pPr>
        <w:pStyle w:val="BodyText"/>
        <w:spacing w:line="240" w:lineRule="auto" w:before="65"/>
        <w:ind w:right="0"/>
        <w:jc w:val="both"/>
      </w:pPr>
      <w:r>
        <w:rPr/>
        <w:t>②描述说明近三年师范生学业预警情况，分析指导师范生开展自我监测和自我评价</w:t>
      </w:r>
    </w:p>
    <w:p>
      <w:pPr>
        <w:spacing w:after="0" w:line="240" w:lineRule="auto"/>
        <w:jc w:val="both"/>
        <w:sectPr>
          <w:headerReference w:type="default" r:id="rId52"/>
          <w:footerReference w:type="default" r:id="rId53"/>
          <w:pgSz w:w="12240" w:h="15840"/>
          <w:pgMar w:header="773" w:footer="680" w:top="960" w:bottom="860" w:left="1680" w:right="1680"/>
          <w:pgNumType w:start="2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left="1240" w:right="0"/>
        <w:jc w:val="left"/>
      </w:pPr>
      <w:r>
        <w:rPr/>
        <w:t>评价的效果。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③描述说明根据学生自我监测和自我评价结果进行指导和改进用以保证师范生在毕 业时达到专业毕业要求的情况，并举例说明。</w:t>
      </w:r>
    </w:p>
    <w:p>
      <w:pPr>
        <w:pStyle w:val="BodyText"/>
        <w:spacing w:line="331" w:lineRule="exact"/>
        <w:ind w:left="1240" w:right="0"/>
        <w:jc w:val="left"/>
        <w:rPr>
          <w:rFonts w:ascii="微软雅黑" w:hAnsi="微软雅黑" w:cs="微软雅黑" w:eastAsia="微软雅黑"/>
        </w:rPr>
      </w:pPr>
      <w:r>
        <w:rPr>
          <w:rFonts w:ascii="微软雅黑" w:hAnsi="微软雅黑" w:cs="微软雅黑" w:eastAsia="微软雅黑"/>
        </w:rPr>
        <w:t>8.5 [就业质量] </w:t>
      </w:r>
      <w:r>
        <w:rPr>
          <w:rFonts w:ascii="微软雅黑" w:hAnsi="微软雅黑" w:cs="微软雅黑" w:eastAsia="微软雅黑"/>
          <w:spacing w:val="2"/>
        </w:rPr>
        <w:t> </w:t>
      </w:r>
      <w:r>
        <w:rPr>
          <w:rFonts w:ascii="微软雅黑" w:hAnsi="微软雅黑" w:cs="微软雅黑" w:eastAsia="微软雅黑"/>
        </w:rPr>
        <w:t>毕业生的初次就业率不低于本地区高校毕业生就业率的平均水平，</w:t>
      </w:r>
    </w:p>
    <w:p>
      <w:pPr>
        <w:pStyle w:val="BodyText"/>
        <w:spacing w:line="412" w:lineRule="exact"/>
        <w:ind w:left="1240" w:right="0"/>
        <w:jc w:val="left"/>
        <w:rPr>
          <w:rFonts w:ascii="微软雅黑" w:hAnsi="微软雅黑" w:cs="微软雅黑" w:eastAsia="微软雅黑"/>
        </w:rPr>
      </w:pPr>
      <w:r>
        <w:rPr>
          <w:rFonts w:ascii="微软雅黑" w:hAnsi="微软雅黑" w:cs="微软雅黑" w:eastAsia="微软雅黑"/>
        </w:rPr>
        <w:t>获得教师资格证书的比例不低于</w:t>
      </w:r>
      <w:r>
        <w:rPr>
          <w:rFonts w:ascii="微软雅黑" w:hAnsi="微软雅黑" w:cs="微软雅黑" w:eastAsia="微软雅黑"/>
          <w:spacing w:val="-16"/>
        </w:rPr>
        <w:t> </w:t>
      </w:r>
      <w:r>
        <w:rPr>
          <w:rFonts w:ascii="微软雅黑" w:hAnsi="微软雅黑" w:cs="微软雅黑" w:eastAsia="微软雅黑"/>
        </w:rPr>
        <w:t>75%，且主要从事教育工作。</w:t>
      </w:r>
    </w:p>
    <w:p>
      <w:pPr>
        <w:pStyle w:val="BodyText"/>
        <w:spacing w:line="240" w:lineRule="auto" w:before="144"/>
        <w:ind w:left="1240" w:right="0"/>
        <w:jc w:val="left"/>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②列表说明近三年专业毕业生教师资格考试通过率、就业率及就业去向，并对就业 质量及毕业生从教情况进行分析。</w:t>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20"/>
          <w:szCs w:val="20"/>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1764"/>
        <w:gridCol w:w="623"/>
        <w:gridCol w:w="2292"/>
        <w:gridCol w:w="735"/>
        <w:gridCol w:w="590"/>
        <w:gridCol w:w="827"/>
        <w:gridCol w:w="549"/>
        <w:gridCol w:w="590"/>
      </w:tblGrid>
      <w:tr>
        <w:trPr>
          <w:trHeight w:val="444"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54" w:right="155"/>
              <w:jc w:val="left"/>
              <w:rPr>
                <w:rFonts w:ascii="楷体" w:hAnsi="楷体" w:cs="楷体" w:eastAsia="楷体"/>
                <w:sz w:val="21"/>
                <w:szCs w:val="21"/>
              </w:rPr>
            </w:pPr>
            <w:r>
              <w:rPr>
                <w:rFonts w:ascii="楷体" w:hAnsi="楷体" w:cs="楷体" w:eastAsia="楷体"/>
                <w:sz w:val="21"/>
                <w:szCs w:val="21"/>
              </w:rPr>
              <w:t>毕业</w:t>
            </w:r>
            <w:r>
              <w:rPr>
                <w:rFonts w:ascii="楷体" w:hAnsi="楷体" w:cs="楷体" w:eastAsia="楷体"/>
                <w:w w:val="99"/>
                <w:sz w:val="21"/>
                <w:szCs w:val="21"/>
              </w:rPr>
              <w:t> </w:t>
            </w:r>
            <w:r>
              <w:rPr>
                <w:rFonts w:ascii="楷体" w:hAnsi="楷体" w:cs="楷体" w:eastAsia="楷体"/>
                <w:sz w:val="21"/>
                <w:szCs w:val="21"/>
              </w:rPr>
              <w:t>生数</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8"/>
              <w:ind w:right="0"/>
              <w:jc w:val="left"/>
              <w:rPr>
                <w:rFonts w:ascii="华文楷体" w:hAnsi="华文楷体" w:cs="华文楷体" w:eastAsia="华文楷体"/>
                <w:sz w:val="14"/>
                <w:szCs w:val="14"/>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68" w:right="167"/>
              <w:jc w:val="left"/>
              <w:rPr>
                <w:rFonts w:ascii="楷体" w:hAnsi="楷体" w:cs="楷体" w:eastAsia="楷体"/>
                <w:sz w:val="21"/>
                <w:szCs w:val="21"/>
              </w:rPr>
            </w:pPr>
            <w:r>
              <w:rPr>
                <w:rFonts w:ascii="楷体" w:hAnsi="楷体" w:cs="楷体" w:eastAsia="楷体"/>
                <w:sz w:val="21"/>
                <w:szCs w:val="21"/>
              </w:rPr>
              <w:t>获学</w:t>
            </w:r>
            <w:r>
              <w:rPr>
                <w:rFonts w:ascii="楷体" w:hAnsi="楷体" w:cs="楷体" w:eastAsia="楷体"/>
                <w:w w:val="99"/>
                <w:sz w:val="21"/>
                <w:szCs w:val="21"/>
              </w:rPr>
              <w:t> </w:t>
            </w:r>
            <w:r>
              <w:rPr>
                <w:rFonts w:ascii="楷体" w:hAnsi="楷体" w:cs="楷体" w:eastAsia="楷体"/>
                <w:sz w:val="21"/>
                <w:szCs w:val="21"/>
              </w:rPr>
              <w:t>位率</w:t>
            </w:r>
          </w:p>
        </w:tc>
        <w:tc>
          <w:tcPr>
            <w:tcW w:w="1764" w:type="dxa"/>
            <w:vMerge w:val="restart"/>
            <w:tcBorders>
              <w:top w:val="single" w:sz="4" w:space="0" w:color="000000"/>
              <w:left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248" w:lineRule="exact"/>
              <w:ind w:right="881"/>
              <w:jc w:val="center"/>
              <w:rPr>
                <w:rFonts w:ascii="楷体" w:hAnsi="楷体" w:cs="楷体" w:eastAsia="楷体"/>
                <w:sz w:val="21"/>
                <w:szCs w:val="21"/>
              </w:rPr>
            </w:pPr>
            <w:r>
              <w:rPr>
                <w:rFonts w:ascii="楷体" w:hAnsi="楷体" w:cs="楷体" w:eastAsia="楷体"/>
                <w:sz w:val="21"/>
                <w:szCs w:val="21"/>
              </w:rPr>
              <w:t>获教师</w:t>
            </w:r>
          </w:p>
          <w:p>
            <w:pPr>
              <w:pStyle w:val="TableParagraph"/>
              <w:spacing w:line="204" w:lineRule="exact"/>
              <w:ind w:left="882" w:right="0"/>
              <w:jc w:val="center"/>
              <w:rPr>
                <w:rFonts w:ascii="楷体" w:hAnsi="楷体" w:cs="楷体" w:eastAsia="楷体"/>
                <w:sz w:val="21"/>
                <w:szCs w:val="21"/>
              </w:rPr>
            </w:pPr>
            <w:r>
              <w:rPr>
                <w:rFonts w:ascii="楷体" w:hAnsi="楷体" w:cs="楷体" w:eastAsia="楷体"/>
                <w:sz w:val="21"/>
                <w:szCs w:val="21"/>
              </w:rPr>
              <w:t>一次就</w:t>
            </w:r>
          </w:p>
          <w:p>
            <w:pPr>
              <w:pStyle w:val="TableParagraph"/>
              <w:spacing w:line="204" w:lineRule="exact"/>
              <w:ind w:right="881"/>
              <w:jc w:val="center"/>
              <w:rPr>
                <w:rFonts w:ascii="楷体" w:hAnsi="楷体" w:cs="楷体" w:eastAsia="楷体"/>
                <w:sz w:val="21"/>
                <w:szCs w:val="21"/>
              </w:rPr>
            </w:pPr>
            <w:r>
              <w:rPr>
                <w:rFonts w:ascii="楷体" w:hAnsi="楷体" w:cs="楷体" w:eastAsia="楷体"/>
                <w:sz w:val="21"/>
                <w:szCs w:val="21"/>
              </w:rPr>
              <w:t>资格证</w:t>
            </w:r>
          </w:p>
          <w:p>
            <w:pPr>
              <w:pStyle w:val="TableParagraph"/>
              <w:spacing w:line="204" w:lineRule="exact"/>
              <w:ind w:left="877" w:right="0"/>
              <w:jc w:val="center"/>
              <w:rPr>
                <w:rFonts w:ascii="楷体" w:hAnsi="楷体" w:cs="楷体" w:eastAsia="楷体"/>
                <w:sz w:val="21"/>
                <w:szCs w:val="21"/>
              </w:rPr>
            </w:pPr>
            <w:r>
              <w:rPr>
                <w:rFonts w:ascii="楷体" w:hAnsi="楷体" w:cs="楷体" w:eastAsia="楷体"/>
                <w:sz w:val="21"/>
                <w:szCs w:val="21"/>
              </w:rPr>
              <w:t>业率</w:t>
            </w:r>
          </w:p>
          <w:p>
            <w:pPr>
              <w:pStyle w:val="TableParagraph"/>
              <w:spacing w:line="231" w:lineRule="exact"/>
              <w:ind w:right="881"/>
              <w:jc w:val="center"/>
              <w:rPr>
                <w:rFonts w:ascii="楷体" w:hAnsi="楷体" w:cs="楷体" w:eastAsia="楷体"/>
                <w:sz w:val="21"/>
                <w:szCs w:val="21"/>
              </w:rPr>
            </w:pPr>
            <w:r>
              <w:rPr>
                <w:rFonts w:ascii="楷体" w:hAnsi="楷体" w:cs="楷体" w:eastAsia="楷体"/>
                <w:sz w:val="21"/>
                <w:szCs w:val="21"/>
              </w:rPr>
              <w:t>书率</w:t>
            </w:r>
          </w:p>
        </w:tc>
        <w:tc>
          <w:tcPr>
            <w:tcW w:w="6206" w:type="dxa"/>
            <w:gridSpan w:val="7"/>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1644"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1764" w:type="dxa"/>
            <w:vMerge/>
            <w:tcBorders>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2292" w:type="dxa"/>
            <w:tcBorders>
              <w:top w:val="single" w:sz="4" w:space="0" w:color="000000"/>
              <w:left w:val="single" w:sz="4" w:space="0" w:color="000000"/>
              <w:bottom w:val="single" w:sz="4" w:space="0" w:color="000000"/>
              <w:right w:val="single" w:sz="4" w:space="0" w:color="000000"/>
            </w:tcBorders>
          </w:tcPr>
          <w:p>
            <w:pPr>
              <w:pStyle w:val="TableParagraph"/>
              <w:tabs>
                <w:tab w:pos="1144" w:val="left" w:leader="none"/>
              </w:tabs>
              <w:spacing w:line="242" w:lineRule="exact"/>
              <w:ind w:right="1"/>
              <w:jc w:val="center"/>
              <w:rPr>
                <w:rFonts w:ascii="楷体" w:hAnsi="楷体" w:cs="楷体" w:eastAsia="楷体"/>
                <w:sz w:val="21"/>
                <w:szCs w:val="21"/>
              </w:rPr>
            </w:pPr>
            <w:r>
              <w:rPr>
                <w:rFonts w:ascii="楷体" w:hAnsi="楷体" w:cs="楷体" w:eastAsia="楷体"/>
                <w:w w:val="95"/>
                <w:sz w:val="21"/>
                <w:szCs w:val="21"/>
              </w:rPr>
              <w:t>政府及事</w:t>
              <w:tab/>
            </w:r>
            <w:r>
              <w:rPr>
                <w:rFonts w:ascii="楷体" w:hAnsi="楷体" w:cs="楷体" w:eastAsia="楷体"/>
                <w:sz w:val="21"/>
                <w:szCs w:val="21"/>
              </w:rPr>
              <w:t>政府及事</w:t>
            </w:r>
          </w:p>
          <w:p>
            <w:pPr>
              <w:pStyle w:val="TableParagraph"/>
              <w:tabs>
                <w:tab w:pos="1144" w:val="left" w:leader="none"/>
              </w:tabs>
              <w:spacing w:line="240" w:lineRule="auto" w:before="133"/>
              <w:ind w:right="1"/>
              <w:jc w:val="center"/>
              <w:rPr>
                <w:rFonts w:ascii="楷体" w:hAnsi="楷体" w:cs="楷体" w:eastAsia="楷体"/>
                <w:sz w:val="21"/>
                <w:szCs w:val="21"/>
              </w:rPr>
            </w:pPr>
            <w:r>
              <w:rPr>
                <w:rFonts w:ascii="楷体" w:hAnsi="楷体" w:cs="楷体" w:eastAsia="楷体"/>
                <w:w w:val="95"/>
                <w:sz w:val="21"/>
                <w:szCs w:val="21"/>
              </w:rPr>
              <w:t>业单位</w:t>
              <w:tab/>
            </w:r>
            <w:r>
              <w:rPr>
                <w:rFonts w:ascii="楷体" w:hAnsi="楷体" w:cs="楷体" w:eastAsia="楷体"/>
                <w:sz w:val="21"/>
                <w:szCs w:val="21"/>
              </w:rPr>
              <w:t>业单位</w:t>
            </w:r>
          </w:p>
          <w:p>
            <w:pPr>
              <w:pStyle w:val="TableParagraph"/>
              <w:tabs>
                <w:tab w:pos="1189" w:val="left" w:leader="none"/>
                <w:tab w:pos="1292" w:val="left" w:leader="none"/>
              </w:tabs>
              <w:spacing w:line="355" w:lineRule="auto" w:before="133"/>
              <w:ind w:left="148" w:right="149"/>
              <w:jc w:val="center"/>
              <w:rPr>
                <w:rFonts w:ascii="楷体" w:hAnsi="楷体" w:cs="楷体" w:eastAsia="楷体"/>
                <w:sz w:val="21"/>
                <w:szCs w:val="21"/>
              </w:rPr>
            </w:pPr>
            <w:r>
              <w:rPr>
                <w:rFonts w:ascii="楷体" w:hAnsi="楷体" w:cs="楷体" w:eastAsia="楷体"/>
                <w:w w:val="95"/>
                <w:sz w:val="21"/>
                <w:szCs w:val="21"/>
              </w:rPr>
              <w:t>（教育部</w:t>
              <w:tab/>
              <w:tab/>
            </w:r>
            <w:r>
              <w:rPr>
                <w:rFonts w:ascii="楷体" w:hAnsi="楷体" w:cs="楷体" w:eastAsia="楷体"/>
                <w:sz w:val="21"/>
                <w:szCs w:val="21"/>
              </w:rPr>
              <w:t>（非教育</w:t>
            </w:r>
            <w:r>
              <w:rPr>
                <w:rFonts w:ascii="楷体" w:hAnsi="楷体" w:cs="楷体" w:eastAsia="楷体"/>
                <w:w w:val="99"/>
                <w:sz w:val="21"/>
                <w:szCs w:val="21"/>
              </w:rPr>
              <w:t> </w:t>
            </w:r>
            <w:r>
              <w:rPr>
                <w:rFonts w:ascii="楷体" w:hAnsi="楷体" w:cs="楷体" w:eastAsia="楷体"/>
                <w:spacing w:val="-1"/>
                <w:w w:val="95"/>
                <w:sz w:val="21"/>
                <w:szCs w:val="21"/>
              </w:rPr>
              <w:t>门）</w:t>
              <w:tab/>
            </w:r>
            <w:r>
              <w:rPr>
                <w:rFonts w:ascii="楷体" w:hAnsi="楷体" w:cs="楷体" w:eastAsia="楷体"/>
                <w:sz w:val="21"/>
                <w:szCs w:val="21"/>
              </w:rPr>
              <w:t>部门）</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52" w:right="152"/>
              <w:jc w:val="left"/>
              <w:rPr>
                <w:rFonts w:ascii="楷体" w:hAnsi="楷体" w:cs="楷体" w:eastAsia="楷体"/>
                <w:sz w:val="21"/>
                <w:szCs w:val="21"/>
              </w:rPr>
            </w:pPr>
            <w:r>
              <w:rPr>
                <w:rFonts w:ascii="楷体" w:hAnsi="楷体" w:cs="楷体" w:eastAsia="楷体"/>
                <w:sz w:val="21"/>
                <w:szCs w:val="21"/>
              </w:rPr>
              <w:t>国有</w:t>
            </w:r>
            <w:r>
              <w:rPr>
                <w:rFonts w:ascii="楷体" w:hAnsi="楷体" w:cs="楷体" w:eastAsia="楷体"/>
                <w:w w:val="99"/>
                <w:sz w:val="21"/>
                <w:szCs w:val="21"/>
              </w:rPr>
              <w:t> </w:t>
            </w:r>
            <w:r>
              <w:rPr>
                <w:rFonts w:ascii="楷体" w:hAnsi="楷体" w:cs="楷体" w:eastAsia="楷体"/>
                <w:sz w:val="21"/>
                <w:szCs w:val="21"/>
              </w:rPr>
              <w:t>企业</w:t>
            </w:r>
          </w:p>
        </w:tc>
        <w:tc>
          <w:tcPr>
            <w:tcW w:w="59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98" w:right="199"/>
              <w:jc w:val="left"/>
              <w:rPr>
                <w:rFonts w:ascii="楷体" w:hAnsi="楷体" w:cs="楷体" w:eastAsia="楷体"/>
                <w:sz w:val="21"/>
                <w:szCs w:val="21"/>
              </w:rPr>
            </w:pPr>
            <w:r>
              <w:rPr>
                <w:rFonts w:ascii="楷体" w:hAnsi="楷体" w:cs="楷体" w:eastAsia="楷体"/>
                <w:sz w:val="21"/>
                <w:szCs w:val="21"/>
              </w:rPr>
              <w:t>其它</w:t>
            </w:r>
            <w:r>
              <w:rPr>
                <w:rFonts w:ascii="楷体" w:hAnsi="楷体" w:cs="楷体" w:eastAsia="楷体"/>
                <w:w w:val="99"/>
                <w:sz w:val="21"/>
                <w:szCs w:val="21"/>
              </w:rPr>
              <w:t> </w:t>
            </w:r>
            <w:r>
              <w:rPr>
                <w:rFonts w:ascii="楷体" w:hAnsi="楷体" w:cs="楷体" w:eastAsia="楷体"/>
                <w:sz w:val="21"/>
                <w:szCs w:val="21"/>
              </w:rPr>
              <w:t>企业</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4"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1"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8" w:lineRule="exact"/>
        <w:ind w:left="1240" w:right="0"/>
        <w:jc w:val="left"/>
        <w:rPr>
          <w:rFonts w:ascii="微软雅黑" w:hAnsi="微软雅黑" w:cs="微软雅黑" w:eastAsia="微软雅黑"/>
        </w:rPr>
      </w:pPr>
      <w:r>
        <w:rPr>
          <w:rFonts w:ascii="微软雅黑" w:hAnsi="微软雅黑" w:cs="微软雅黑" w:eastAsia="微软雅黑"/>
        </w:rPr>
        <w:t>8.6 [社会声誉]</w:t>
      </w:r>
      <w:r>
        <w:rPr>
          <w:rFonts w:ascii="微软雅黑" w:hAnsi="微软雅黑" w:cs="微软雅黑" w:eastAsia="微软雅黑"/>
          <w:spacing w:val="45"/>
        </w:rPr>
        <w:t> </w:t>
      </w:r>
      <w:r>
        <w:rPr>
          <w:rFonts w:ascii="微软雅黑" w:hAnsi="微软雅黑" w:cs="微软雅黑" w:eastAsia="微软雅黑"/>
        </w:rPr>
        <w:t>毕业生社会声誉好，用人单位满意度高。</w:t>
      </w:r>
    </w:p>
    <w:p>
      <w:pPr>
        <w:pStyle w:val="BodyText"/>
        <w:spacing w:line="424" w:lineRule="auto" w:before="144"/>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pStyle w:val="Heading5"/>
        <w:spacing w:line="240" w:lineRule="auto" w:before="180"/>
        <w:ind w:left="1240" w:right="0"/>
        <w:jc w:val="left"/>
        <w:rPr>
          <w:b w:val="0"/>
          <w:bCs w:val="0"/>
        </w:rPr>
      </w:pPr>
      <w:bookmarkStart w:name="第二部分：主要问题" w:id="140"/>
      <w:bookmarkEnd w:id="140"/>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before="0"/>
        <w:ind w:left="1240" w:right="0" w:firstLine="0"/>
        <w:jc w:val="left"/>
        <w:rPr>
          <w:rFonts w:ascii="楷体" w:hAnsi="楷体" w:cs="楷体" w:eastAsia="楷体"/>
          <w:sz w:val="21"/>
          <w:szCs w:val="21"/>
        </w:rPr>
      </w:pPr>
      <w:r>
        <w:rPr>
          <w:rFonts w:ascii="楷体" w:hAnsi="楷体" w:cs="楷体" w:eastAsia="楷体"/>
          <w:sz w:val="21"/>
          <w:szCs w:val="21"/>
        </w:rPr>
        <w:t>（请根据上述逐条对标情况，按标准条文明确清晰地描述分析专业对标自评中发现的问题与不</w:t>
      </w:r>
    </w:p>
    <w:p>
      <w:pPr>
        <w:spacing w:after="0"/>
        <w:jc w:val="left"/>
        <w:rPr>
          <w:rFonts w:ascii="楷体" w:hAnsi="楷体" w:cs="楷体" w:eastAsia="楷体"/>
          <w:sz w:val="21"/>
          <w:szCs w:val="21"/>
        </w:rPr>
        <w:sectPr>
          <w:pgSz w:w="12240" w:h="15840"/>
          <w:pgMar w:header="773" w:footer="680" w:top="960" w:bottom="880" w:left="560" w:right="560"/>
        </w:sectPr>
      </w:pPr>
    </w:p>
    <w:p>
      <w:pPr>
        <w:spacing w:line="240" w:lineRule="auto" w:before="8"/>
        <w:rPr>
          <w:rFonts w:ascii="楷体" w:hAnsi="楷体" w:cs="楷体" w:eastAsia="楷体"/>
          <w:sz w:val="10"/>
          <w:szCs w:val="10"/>
        </w:rPr>
      </w:pPr>
    </w:p>
    <w:p>
      <w:pPr>
        <w:pStyle w:val="Heading5"/>
        <w:spacing w:line="355" w:lineRule="exact"/>
        <w:ind w:left="220" w:right="0"/>
        <w:jc w:val="left"/>
        <w:rPr>
          <w:b w:val="0"/>
          <w:bCs w:val="0"/>
        </w:rPr>
      </w:pPr>
      <w:bookmarkStart w:name="第三部分：改进措施" w:id="141"/>
      <w:bookmarkEnd w:id="141"/>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8"/>
        <w:rPr>
          <w:rFonts w:ascii="楷体" w:hAnsi="楷体" w:cs="楷体" w:eastAsia="楷体"/>
          <w:sz w:val="14"/>
          <w:szCs w:val="14"/>
        </w:rPr>
      </w:pPr>
    </w:p>
    <w:p>
      <w:pPr>
        <w:pStyle w:val="Heading4"/>
        <w:spacing w:line="240" w:lineRule="auto"/>
        <w:ind w:left="220" w:right="0"/>
        <w:jc w:val="left"/>
        <w:rPr>
          <w:b w:val="0"/>
          <w:bCs w:val="0"/>
        </w:rPr>
      </w:pPr>
      <w:bookmarkStart w:name="附录 支撑材料清单" w:id="142"/>
      <w:bookmarkEnd w:id="142"/>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8"/>
              <w:ind w:right="0"/>
              <w:jc w:val="left"/>
              <w:rPr>
                <w:rFonts w:ascii="微软雅黑" w:hAnsi="微软雅黑" w:cs="微软雅黑" w:eastAsia="微软雅黑"/>
                <w:b/>
                <w:bCs/>
                <w:sz w:val="12"/>
                <w:szCs w:val="1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4"/>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3"/>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6"/>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54"/>
          <w:pgSz w:w="12240" w:h="15840"/>
          <w:pgMar w:header="959" w:footer="680" w:top="1880" w:bottom="88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18"/>
                <w:szCs w:val="1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55"/>
          <w:pgSz w:w="12240" w:h="15840"/>
          <w:pgMar w:header="773" w:footer="680" w:top="960" w:bottom="860" w:left="1580" w:right="158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17"/>
          <w:szCs w:val="17"/>
        </w:rPr>
      </w:pPr>
    </w:p>
    <w:p>
      <w:pPr>
        <w:spacing w:line="621" w:lineRule="exact" w:before="0"/>
        <w:ind w:left="1041" w:right="1039" w:firstLine="0"/>
        <w:jc w:val="center"/>
        <w:rPr>
          <w:rFonts w:ascii="黑体" w:hAnsi="黑体" w:cs="黑体" w:eastAsia="黑体"/>
          <w:sz w:val="52"/>
          <w:szCs w:val="52"/>
        </w:rPr>
      </w:pPr>
      <w:r>
        <w:rPr>
          <w:rFonts w:ascii="黑体" w:hAnsi="黑体" w:cs="黑体" w:eastAsia="黑体"/>
          <w:sz w:val="52"/>
          <w:szCs w:val="52"/>
        </w:rPr>
        <w:t>普通高等学校师范类专业认证</w:t>
      </w:r>
    </w:p>
    <w:p>
      <w:pPr>
        <w:spacing w:before="411"/>
        <w:ind w:left="1039" w:right="1039" w:firstLine="0"/>
        <w:jc w:val="center"/>
        <w:rPr>
          <w:rFonts w:ascii="黑体" w:hAnsi="黑体" w:cs="黑体" w:eastAsia="黑体"/>
          <w:sz w:val="52"/>
          <w:szCs w:val="52"/>
        </w:rPr>
      </w:pPr>
      <w:bookmarkStart w:name="（小学教育第三级）" w:id="143"/>
      <w:bookmarkEnd w:id="143"/>
      <w:r>
        <w:rPr/>
      </w:r>
      <w:r>
        <w:rPr>
          <w:rFonts w:ascii="黑体" w:hAnsi="黑体" w:cs="黑体" w:eastAsia="黑体"/>
          <w:sz w:val="52"/>
          <w:szCs w:val="52"/>
        </w:rPr>
        <w:t>（小学教育第三级）</w:t>
      </w:r>
    </w:p>
    <w:p>
      <w:pPr>
        <w:spacing w:before="250"/>
        <w:ind w:left="1039" w:right="1039" w:firstLine="0"/>
        <w:jc w:val="center"/>
        <w:rPr>
          <w:rFonts w:ascii="黑体" w:hAnsi="黑体" w:cs="黑体" w:eastAsia="黑体"/>
          <w:sz w:val="72"/>
          <w:szCs w:val="72"/>
        </w:rPr>
      </w:pPr>
      <w:bookmarkStart w:name="自评报告" w:id="144"/>
      <w:bookmarkEnd w:id="144"/>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spacing w:line="511" w:lineRule="auto" w:before="0"/>
        <w:ind w:left="1514" w:right="5699" w:firstLine="0"/>
        <w:jc w:val="left"/>
        <w:rPr>
          <w:rFonts w:ascii="黑体" w:hAnsi="黑体" w:cs="黑体" w:eastAsia="黑体"/>
          <w:sz w:val="28"/>
          <w:szCs w:val="28"/>
        </w:rPr>
      </w:pPr>
      <w:r>
        <w:rPr>
          <w:rFonts w:ascii="黑体" w:hAnsi="黑体" w:cs="黑体" w:eastAsia="黑体"/>
          <w:b/>
          <w:bCs/>
          <w:sz w:val="28"/>
          <w:szCs w:val="28"/>
        </w:rPr>
        <w:t>学校：</w:t>
      </w:r>
      <w:r>
        <w:rPr>
          <w:rFonts w:ascii="黑体" w:hAnsi="黑体" w:cs="黑体" w:eastAsia="黑体"/>
          <w:b/>
          <w:bCs/>
          <w:w w:val="99"/>
          <w:sz w:val="28"/>
          <w:szCs w:val="28"/>
        </w:rPr>
        <w:t> </w:t>
      </w:r>
      <w:r>
        <w:rPr>
          <w:rFonts w:ascii="黑体" w:hAnsi="黑体" w:cs="黑体" w:eastAsia="黑体"/>
          <w:b/>
          <w:bCs/>
          <w:sz w:val="28"/>
          <w:szCs w:val="28"/>
        </w:rPr>
        <w:t>专业：</w:t>
      </w:r>
      <w:r>
        <w:rPr>
          <w:rFonts w:ascii="黑体" w:hAnsi="黑体" w:cs="黑体" w:eastAsia="黑体"/>
          <w:b/>
          <w:bCs/>
          <w:w w:val="99"/>
          <w:sz w:val="28"/>
          <w:szCs w:val="28"/>
        </w:rPr>
        <w:t> </w:t>
      </w:r>
      <w:r>
        <w:rPr>
          <w:rFonts w:ascii="黑体" w:hAnsi="黑体" w:cs="黑体" w:eastAsia="黑体"/>
          <w:b/>
          <w:bCs/>
          <w:w w:val="95"/>
          <w:sz w:val="28"/>
          <w:szCs w:val="28"/>
        </w:rPr>
        <w:t>完成时间：</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w w:val="95"/>
          <w:sz w:val="28"/>
          <w:szCs w:val="28"/>
        </w:rPr>
        <w:t>联系电话：</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sz w:val="28"/>
          <w:szCs w:val="28"/>
        </w:rPr>
        <w:t>电子邮件</w:t>
      </w:r>
      <w:r>
        <w:rPr>
          <w:rFonts w:ascii="黑体" w:hAnsi="黑体" w:cs="黑体" w:eastAsia="黑体"/>
          <w:sz w:val="28"/>
          <w:szCs w:val="28"/>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headerReference w:type="default" r:id="rId56"/>
          <w:footerReference w:type="default" r:id="rId57"/>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headerReference w:type="default" r:id="rId58"/>
          <w:footerReference w:type="default" r:id="rId59"/>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headerReference w:type="default" r:id="rId60"/>
          <w:footerReference w:type="default" r:id="rId61"/>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145"/>
      <w:bookmarkEnd w:id="145"/>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146"/>
      <w:bookmarkEnd w:id="146"/>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147"/>
      <w:bookmarkEnd w:id="147"/>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5"/>
        <w:jc w:val="both"/>
        <w:rPr>
          <w:rFonts w:ascii="微软雅黑" w:hAnsi="微软雅黑" w:cs="微软雅黑" w:eastAsia="微软雅黑"/>
        </w:rPr>
      </w:pPr>
      <w:r>
        <w:rPr>
          <w:rFonts w:ascii="微软雅黑" w:hAnsi="微软雅黑" w:cs="微软雅黑" w:eastAsia="微软雅黑"/>
        </w:rPr>
        <w:t>1.1 [目标定位] 培养目标应贯彻党的教育方针，面向国家、地区基础教育改革发展 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62"/>
          <w:pgSz w:w="12240" w:h="15840"/>
          <w:pgMar w:footer="700" w:header="773" w:top="960" w:bottom="88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④描述说明专业培养目标如何对接“卓越教师培养计划”要求，体现前瞻性和引领 性。</w:t>
      </w:r>
    </w:p>
    <w:p>
      <w:pPr>
        <w:spacing w:line="240" w:lineRule="auto" w:before="9"/>
        <w:rPr>
          <w:rFonts w:ascii="华文楷体" w:hAnsi="华文楷体" w:cs="华文楷体" w:eastAsia="华文楷体"/>
          <w:sz w:val="26"/>
          <w:szCs w:val="26"/>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 [目标内涵] 培养目标内容明确清晰，反映师范生毕业后 5</w:t>
      </w:r>
      <w:r>
        <w:rPr>
          <w:rFonts w:ascii="微软雅黑" w:hAnsi="微软雅黑" w:cs="微软雅黑" w:eastAsia="微软雅黑"/>
          <w:spacing w:val="-38"/>
        </w:rPr>
        <w:t> </w:t>
      </w:r>
      <w:r>
        <w:rPr>
          <w:rFonts w:ascii="微软雅黑" w:hAnsi="微软雅黑" w:cs="微软雅黑" w:eastAsia="微软雅黑"/>
        </w:rPr>
        <w:t>年左右在社会和专业</w:t>
      </w:r>
      <w:r>
        <w:rPr>
          <w:rFonts w:ascii="微软雅黑" w:hAnsi="微软雅黑" w:cs="微软雅黑" w:eastAsia="微软雅黑"/>
        </w:rPr>
        <w:t> 领域的发展预期，体现专业特色和优势，并能够为师范生、教师、教学管理人员及 其他利益相关方所理解和认同。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③描述并举证说明专业采取多种途径让培养目标能够为本专业师范生、教师、教学 管理人员及其他利益相关方接受、认同。</w:t>
      </w:r>
    </w:p>
    <w:p>
      <w:pPr>
        <w:spacing w:line="240" w:lineRule="auto" w:before="6"/>
        <w:rPr>
          <w:rFonts w:ascii="华文楷体" w:hAnsi="华文楷体" w:cs="华文楷体" w:eastAsia="华文楷体"/>
          <w:sz w:val="26"/>
          <w:szCs w:val="26"/>
        </w:rPr>
      </w:pPr>
    </w:p>
    <w:p>
      <w:pPr>
        <w:pStyle w:val="BodyText"/>
        <w:spacing w:line="240" w:lineRule="auto"/>
        <w:ind w:right="355"/>
        <w:jc w:val="both"/>
        <w:rPr>
          <w:rFonts w:ascii="微软雅黑" w:hAnsi="微软雅黑" w:cs="微软雅黑" w:eastAsia="微软雅黑"/>
        </w:rPr>
      </w:pPr>
      <w:r>
        <w:rPr>
          <w:rFonts w:ascii="微软雅黑" w:hAnsi="微软雅黑" w:cs="微软雅黑" w:eastAsia="微软雅黑"/>
        </w:rPr>
        <w:t>1.3 [目标评价] 定期对培养目标的合理性进行评价，并能根据评价结果对培养目标 进行必要修订。评价和修订过程应有利益相关方参与。</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spacing w:after="0" w:line="424" w:lineRule="auto"/>
        <w:jc w:val="both"/>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③描述说明师范生、教师、教学管理人员和用人单位及其他利益相关方参与专业培 养目标评价和修订过程情况。</w:t>
      </w:r>
    </w:p>
    <w:p>
      <w:pPr>
        <w:spacing w:line="240" w:lineRule="auto" w:before="0"/>
        <w:rPr>
          <w:rFonts w:ascii="华文楷体" w:hAnsi="华文楷体" w:cs="华文楷体" w:eastAsia="华文楷体"/>
          <w:sz w:val="24"/>
          <w:szCs w:val="24"/>
        </w:rPr>
      </w:pPr>
    </w:p>
    <w:p>
      <w:pPr>
        <w:spacing w:line="240" w:lineRule="auto" w:before="12"/>
        <w:rPr>
          <w:rFonts w:ascii="华文楷体" w:hAnsi="华文楷体" w:cs="华文楷体" w:eastAsia="华文楷体"/>
          <w:sz w:val="17"/>
          <w:szCs w:val="17"/>
        </w:rPr>
      </w:pPr>
    </w:p>
    <w:p>
      <w:pPr>
        <w:pStyle w:val="Heading5"/>
        <w:spacing w:line="240" w:lineRule="auto"/>
        <w:ind w:right="35"/>
        <w:jc w:val="left"/>
        <w:rPr>
          <w:b w:val="0"/>
          <w:bCs w:val="0"/>
        </w:rPr>
      </w:pPr>
      <w:bookmarkStart w:name="第二部分：主要问题" w:id="148"/>
      <w:bookmarkEnd w:id="148"/>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7"/>
        <w:rPr>
          <w:rFonts w:ascii="楷体" w:hAnsi="楷体" w:cs="楷体" w:eastAsia="楷体"/>
          <w:sz w:val="28"/>
          <w:szCs w:val="28"/>
        </w:rPr>
      </w:pPr>
    </w:p>
    <w:p>
      <w:pPr>
        <w:pStyle w:val="Heading5"/>
        <w:spacing w:line="240" w:lineRule="auto"/>
        <w:ind w:right="35"/>
        <w:jc w:val="left"/>
        <w:rPr>
          <w:b w:val="0"/>
          <w:bCs w:val="0"/>
        </w:rPr>
      </w:pPr>
      <w:bookmarkStart w:name="第三部分：改进措施" w:id="149"/>
      <w:bookmarkEnd w:id="149"/>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35"/>
        <w:jc w:val="left"/>
        <w:rPr>
          <w:b w:val="0"/>
          <w:bCs w:val="0"/>
        </w:rPr>
      </w:pPr>
      <w:bookmarkStart w:name="标准2毕业要求" w:id="150"/>
      <w:bookmarkEnd w:id="150"/>
      <w:r>
        <w:rPr>
          <w:b w:val="0"/>
          <w:bCs w:val="0"/>
        </w:rPr>
      </w:r>
      <w:r>
        <w:rPr/>
        <w:t>标准 2</w:t>
      </w:r>
      <w:r>
        <w:rPr>
          <w:spacing w:val="-32"/>
        </w:rPr>
        <w:t> </w:t>
      </w:r>
      <w:r>
        <w:rPr/>
        <w:t>毕业要求</w:t>
      </w:r>
      <w:r>
        <w:rPr>
          <w:b w:val="0"/>
          <w:bCs w:val="0"/>
        </w:rPr>
      </w:r>
    </w:p>
    <w:p>
      <w:pPr>
        <w:spacing w:line="240" w:lineRule="auto" w:before="14"/>
        <w:rPr>
          <w:rFonts w:ascii="微软雅黑" w:hAnsi="微软雅黑" w:cs="微软雅黑" w:eastAsia="微软雅黑"/>
          <w:b/>
          <w:bCs/>
          <w:sz w:val="23"/>
          <w:szCs w:val="23"/>
        </w:rPr>
      </w:pPr>
    </w:p>
    <w:p>
      <w:pPr>
        <w:pStyle w:val="BodyText"/>
        <w:spacing w:line="237" w:lineRule="auto"/>
        <w:ind w:right="239" w:firstLine="480"/>
        <w:jc w:val="both"/>
        <w:rPr>
          <w:rFonts w:ascii="微软雅黑" w:hAnsi="微软雅黑" w:cs="微软雅黑" w:eastAsia="微软雅黑"/>
        </w:rPr>
      </w:pPr>
      <w:r>
        <w:rPr>
          <w:rFonts w:ascii="微软雅黑" w:hAnsi="微软雅黑" w:cs="微软雅黑" w:eastAsia="微软雅黑"/>
        </w:rPr>
        <w:t>专业应根据小学教师专业标准，制定明确、公开的毕业要求。毕业要求能够支 撑培养目标，并在师范生培养全过程中分解落实。专业应通过评价证明毕业要求的 达成。专业指定的毕业要求应涵盖以下内容：</w:t>
      </w:r>
    </w:p>
    <w:p>
      <w:pPr>
        <w:pStyle w:val="BodyText"/>
        <w:tabs>
          <w:tab w:pos="539" w:val="left" w:leader="none"/>
        </w:tabs>
        <w:spacing w:line="410"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践行师德</w:t>
      </w:r>
    </w:p>
    <w:p>
      <w:pPr>
        <w:pStyle w:val="BodyText"/>
        <w:spacing w:line="237" w:lineRule="auto" w:before="2"/>
        <w:ind w:right="235" w:firstLine="480"/>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 同、政治认同、理论认同和情感认同。贯彻党的教育方针，以立德树人为己任。遵 守中小学教师职业道德规范，具有依法执教意识，立志成为有理想信念、有道德情 操、有扎实学识、有仁爱之心的好老师。</w:t>
      </w:r>
    </w:p>
    <w:p>
      <w:pPr>
        <w:pStyle w:val="BodyText"/>
        <w:spacing w:line="237" w:lineRule="auto"/>
        <w:ind w:right="35" w:firstLine="480"/>
        <w:jc w:val="left"/>
        <w:rPr>
          <w:rFonts w:ascii="微软雅黑" w:hAnsi="微软雅黑" w:cs="微软雅黑" w:eastAsia="微软雅黑"/>
        </w:rPr>
      </w:pPr>
      <w:r>
        <w:rPr>
          <w:rFonts w:ascii="微软雅黑" w:hAnsi="微软雅黑" w:cs="微软雅黑" w:eastAsia="微软雅黑"/>
        </w:rPr>
        <w:t>2.2 [教育情怀]</w:t>
      </w:r>
      <w:r>
        <w:rPr>
          <w:rFonts w:ascii="微软雅黑" w:hAnsi="微软雅黑" w:cs="微软雅黑" w:eastAsia="微软雅黑"/>
          <w:spacing w:val="62"/>
        </w:rPr>
        <w:t> </w:t>
      </w:r>
      <w:r>
        <w:rPr>
          <w:rFonts w:ascii="微软雅黑" w:hAnsi="微软雅黑" w:cs="微软雅黑" w:eastAsia="微软雅黑"/>
        </w:rPr>
        <w:t>具有从教意愿，认同教师工作的意义和专业性，具有积极的情</w:t>
      </w:r>
      <w:r>
        <w:rPr>
          <w:rFonts w:ascii="微软雅黑" w:hAnsi="微软雅黑" w:cs="微软雅黑" w:eastAsia="微软雅黑"/>
        </w:rPr>
        <w:t> 感、端正的态度、正确的价值观。具有人文底蕴和科学精神，尊重学生人格，富有 </w:t>
      </w:r>
      <w:r>
        <w:rPr>
          <w:rFonts w:ascii="微软雅黑" w:hAnsi="微软雅黑" w:cs="微软雅黑" w:eastAsia="微软雅黑"/>
          <w:spacing w:val="-4"/>
        </w:rPr>
        <w:t>爱心、责任心、事业心，工作细心、耐心，做学生锤炼品格、学习知识、创新思维、</w:t>
      </w:r>
      <w:r>
        <w:rPr>
          <w:rFonts w:ascii="微软雅黑" w:hAnsi="微软雅黑" w:cs="微软雅黑" w:eastAsia="微软雅黑"/>
          <w:spacing w:val="-41"/>
        </w:rPr>
        <w:t> </w:t>
      </w:r>
      <w:r>
        <w:rPr>
          <w:rFonts w:ascii="微软雅黑" w:hAnsi="微软雅黑" w:cs="微软雅黑" w:eastAsia="微软雅黑"/>
          <w:spacing w:val="-41"/>
        </w:rPr>
      </w:r>
      <w:r>
        <w:rPr>
          <w:rFonts w:ascii="微软雅黑" w:hAnsi="微软雅黑" w:cs="微软雅黑" w:eastAsia="微软雅黑"/>
        </w:rPr>
        <w:t>奉献祖国的引路人。</w:t>
      </w:r>
    </w:p>
    <w:p>
      <w:pPr>
        <w:pStyle w:val="BodyText"/>
        <w:tabs>
          <w:tab w:pos="539" w:val="left" w:leader="none"/>
        </w:tabs>
        <w:spacing w:line="413"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学会教学</w:t>
      </w:r>
    </w:p>
    <w:p>
      <w:pPr>
        <w:pStyle w:val="BodyText"/>
        <w:spacing w:line="414" w:lineRule="exact"/>
        <w:ind w:left="600" w:right="35"/>
        <w:jc w:val="left"/>
        <w:rPr>
          <w:rFonts w:ascii="微软雅黑" w:hAnsi="微软雅黑" w:cs="微软雅黑" w:eastAsia="微软雅黑"/>
        </w:rPr>
      </w:pPr>
      <w:r>
        <w:rPr>
          <w:rFonts w:ascii="微软雅黑" w:hAnsi="微软雅黑" w:cs="微软雅黑" w:eastAsia="微软雅黑"/>
        </w:rPr>
        <w:t>2.3 [知识整合] </w:t>
      </w:r>
      <w:r>
        <w:rPr>
          <w:rFonts w:ascii="微软雅黑" w:hAnsi="微软雅黑" w:cs="微软雅黑" w:eastAsia="微软雅黑"/>
          <w:spacing w:val="2"/>
        </w:rPr>
        <w:t> </w:t>
      </w:r>
      <w:r>
        <w:rPr>
          <w:rFonts w:ascii="微软雅黑" w:hAnsi="微软雅黑" w:cs="微软雅黑" w:eastAsia="微软雅黑"/>
        </w:rPr>
        <w:t>具有较好的人文与科学素养。扎实掌握主教学科的知识体系、</w:t>
      </w:r>
    </w:p>
    <w:p>
      <w:pPr>
        <w:spacing w:after="0" w:line="414" w:lineRule="exact"/>
        <w:jc w:val="left"/>
        <w:rPr>
          <w:rFonts w:ascii="微软雅黑" w:hAnsi="微软雅黑" w:cs="微软雅黑" w:eastAsia="微软雅黑"/>
        </w:rPr>
        <w:sectPr>
          <w:pgSz w:w="12240" w:h="15840"/>
          <w:pgMar w:header="773" w:footer="700" w:top="960" w:bottom="880" w:left="1680" w:right="1560"/>
        </w:sectPr>
      </w:pPr>
    </w:p>
    <w:p>
      <w:pPr>
        <w:spacing w:line="240" w:lineRule="auto" w:before="9"/>
        <w:rPr>
          <w:rFonts w:ascii="微软雅黑" w:hAnsi="微软雅黑" w:cs="微软雅黑" w:eastAsia="微软雅黑"/>
          <w:sz w:val="27"/>
          <w:szCs w:val="27"/>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思想与方法，重点理解和掌握学科核心素养内涵；掌握兼教学科的基本知识、基本</w:t>
      </w:r>
    </w:p>
    <w:p>
      <w:pPr>
        <w:pStyle w:val="BodyText"/>
        <w:spacing w:line="412" w:lineRule="exact" w:before="20"/>
        <w:ind w:right="119"/>
        <w:jc w:val="both"/>
        <w:rPr>
          <w:rFonts w:ascii="微软雅黑" w:hAnsi="微软雅黑" w:cs="微软雅黑" w:eastAsia="微软雅黑"/>
        </w:rPr>
      </w:pPr>
      <w:r>
        <w:rPr>
          <w:rFonts w:ascii="微软雅黑" w:hAnsi="微软雅黑" w:cs="微软雅黑" w:eastAsia="微软雅黑"/>
        </w:rPr>
        <w:t>原理和技能，了解学科知识体系基本思想和方法；了解小学其他学科基本知识、基 本原理和技能，具有跨学科知识结构；对学习科学相关知识能理解并初步应用，能 整合形成学科教学知识。初步习得基于核心素养的学习指导方法和策略。</w:t>
      </w:r>
    </w:p>
    <w:p>
      <w:pPr>
        <w:pStyle w:val="BodyText"/>
        <w:spacing w:line="389" w:lineRule="exact"/>
        <w:ind w:right="0" w:firstLine="480"/>
        <w:jc w:val="both"/>
        <w:rPr>
          <w:rFonts w:ascii="微软雅黑" w:hAnsi="微软雅黑" w:cs="微软雅黑" w:eastAsia="微软雅黑"/>
        </w:rPr>
      </w:pPr>
      <w:r>
        <w:rPr>
          <w:rFonts w:ascii="微软雅黑" w:hAnsi="微软雅黑" w:cs="微软雅黑" w:eastAsia="微软雅黑"/>
        </w:rPr>
        <w:t>2.4 [教学能力] </w:t>
      </w:r>
      <w:r>
        <w:rPr>
          <w:rFonts w:ascii="微软雅黑" w:hAnsi="微软雅黑" w:cs="微软雅黑" w:eastAsia="微软雅黑"/>
          <w:spacing w:val="2"/>
        </w:rPr>
        <w:t> </w:t>
      </w:r>
      <w:r>
        <w:rPr>
          <w:rFonts w:ascii="微软雅黑" w:hAnsi="微软雅黑" w:cs="微软雅黑" w:eastAsia="微软雅黑"/>
        </w:rPr>
        <w:t>理解教师是学生学习和发展的促进者。依据学科课程标准，在</w:t>
      </w:r>
    </w:p>
    <w:p>
      <w:pPr>
        <w:pStyle w:val="BodyText"/>
        <w:spacing w:line="412" w:lineRule="exact" w:before="20"/>
        <w:ind w:right="0"/>
        <w:jc w:val="left"/>
        <w:rPr>
          <w:rFonts w:ascii="微软雅黑" w:hAnsi="微软雅黑" w:cs="微软雅黑" w:eastAsia="微软雅黑"/>
        </w:rPr>
      </w:pPr>
      <w:r>
        <w:rPr>
          <w:rFonts w:ascii="微软雅黑" w:hAnsi="微软雅黑" w:cs="微软雅黑" w:eastAsia="微软雅黑"/>
        </w:rPr>
        <w:t>教育实践中，能够以学习者为中心，创设适合的学习环境，指导学习过程，进行学 习评价。具备一定的课程整合与综合性学习设计与实施能力。</w:t>
      </w:r>
    </w:p>
    <w:p>
      <w:pPr>
        <w:pStyle w:val="BodyText"/>
        <w:spacing w:line="390" w:lineRule="exact"/>
        <w:ind w:right="0" w:firstLine="480"/>
        <w:jc w:val="both"/>
        <w:rPr>
          <w:rFonts w:ascii="微软雅黑" w:hAnsi="微软雅黑" w:cs="微软雅黑" w:eastAsia="微软雅黑"/>
        </w:rPr>
      </w:pPr>
      <w:r>
        <w:rPr>
          <w:rFonts w:ascii="微软雅黑" w:hAnsi="微软雅黑" w:cs="微软雅黑" w:eastAsia="微软雅黑"/>
        </w:rPr>
        <w:t>2.5 [技术融合] </w:t>
      </w:r>
      <w:r>
        <w:rPr>
          <w:rFonts w:ascii="微软雅黑" w:hAnsi="微软雅黑" w:cs="微软雅黑" w:eastAsia="微软雅黑"/>
          <w:spacing w:val="2"/>
        </w:rPr>
        <w:t> </w:t>
      </w:r>
      <w:r>
        <w:rPr>
          <w:rFonts w:ascii="微软雅黑" w:hAnsi="微软雅黑" w:cs="微软雅黑" w:eastAsia="微软雅黑"/>
        </w:rPr>
        <w:t>初步掌握应用信息技术优化学科课堂教学的方法技能，具有运</w:t>
      </w:r>
    </w:p>
    <w:p>
      <w:pPr>
        <w:pStyle w:val="BodyText"/>
        <w:spacing w:line="413" w:lineRule="exact"/>
        <w:ind w:right="0"/>
        <w:jc w:val="both"/>
        <w:rPr>
          <w:rFonts w:ascii="微软雅黑" w:hAnsi="微软雅黑" w:cs="微软雅黑" w:eastAsia="微软雅黑"/>
        </w:rPr>
      </w:pPr>
      <w:r>
        <w:rPr>
          <w:rFonts w:ascii="微软雅黑" w:hAnsi="微软雅黑" w:cs="微软雅黑" w:eastAsia="微软雅黑"/>
        </w:rPr>
        <w:t>用信息技术支持学习设计和转变学生学习方式的初步经验。</w:t>
      </w:r>
    </w:p>
    <w:p>
      <w:pPr>
        <w:pStyle w:val="BodyText"/>
        <w:spacing w:line="412"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学会育人</w:t>
      </w:r>
    </w:p>
    <w:p>
      <w:pPr>
        <w:pStyle w:val="BodyText"/>
        <w:spacing w:line="237" w:lineRule="auto" w:before="1"/>
        <w:ind w:right="115" w:firstLine="480"/>
        <w:jc w:val="both"/>
        <w:rPr>
          <w:rFonts w:ascii="微软雅黑" w:hAnsi="微软雅黑" w:cs="微软雅黑" w:eastAsia="微软雅黑"/>
        </w:rPr>
      </w:pPr>
      <w:r>
        <w:rPr>
          <w:rFonts w:ascii="微软雅黑" w:hAnsi="微软雅黑" w:cs="微软雅黑" w:eastAsia="微软雅黑"/>
        </w:rPr>
        <w:t>2.6 [班级指导] 树立德育为先理念。了解小学德育原理与方法，掌握班级组织 与建设的工作规律与基本方法。掌握班集体建设、班级教育活动组织、学生发展指 导、综合素质评价、与家长及社区沟通合作等班级常规工作要点。能够在班主任工 作实践中，参与德育和心理健康教育等教育活动的组织与指导，获得积极体验。</w:t>
      </w:r>
    </w:p>
    <w:p>
      <w:pPr>
        <w:pStyle w:val="BodyText"/>
        <w:spacing w:line="237" w:lineRule="auto"/>
        <w:ind w:right="115" w:firstLine="480"/>
        <w:jc w:val="both"/>
        <w:rPr>
          <w:rFonts w:ascii="微软雅黑" w:hAnsi="微软雅黑" w:cs="微软雅黑" w:eastAsia="微软雅黑"/>
        </w:rPr>
      </w:pPr>
      <w:r>
        <w:rPr>
          <w:rFonts w:ascii="微软雅黑" w:hAnsi="微软雅黑" w:cs="微软雅黑" w:eastAsia="微软雅黑"/>
        </w:rPr>
        <w:t>2.7 [综合育人] 树立育人为本的理念，掌握育人基本知识与技能，善于抓住教 育契机，促进小学生全面和个性发展。理解学科育人价值，在教育实践中，能够结 合学科教学进行育人活动。了解学校文化和教育活动的育人内涵和方法。积极参与 组织主题教育、少先队活动和社团活动。</w:t>
      </w:r>
    </w:p>
    <w:p>
      <w:pPr>
        <w:pStyle w:val="BodyText"/>
        <w:spacing w:line="410"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学会发展</w:t>
      </w:r>
    </w:p>
    <w:p>
      <w:pPr>
        <w:pStyle w:val="BodyText"/>
        <w:spacing w:line="237" w:lineRule="auto" w:before="2"/>
        <w:ind w:right="115" w:firstLine="480"/>
        <w:jc w:val="both"/>
        <w:rPr>
          <w:rFonts w:ascii="微软雅黑" w:hAnsi="微软雅黑" w:cs="微软雅黑" w:eastAsia="微软雅黑"/>
        </w:rPr>
      </w:pPr>
      <w:r>
        <w:rPr>
          <w:rFonts w:ascii="微软雅黑" w:hAnsi="微软雅黑" w:cs="微软雅黑" w:eastAsia="微软雅黑"/>
        </w:rPr>
        <w:t>2.8 [自主学习] 具有终身学习与专业发展意识。了解专业发展核心内容和发展 阶段路径，能够结合就业愿景制订自身学习和专业发展规划。养成自主学习习惯， 具有自我管理能力。</w:t>
      </w:r>
    </w:p>
    <w:p>
      <w:pPr>
        <w:pStyle w:val="BodyText"/>
        <w:spacing w:line="412" w:lineRule="exact" w:before="18"/>
        <w:ind w:right="115" w:firstLine="480"/>
        <w:jc w:val="both"/>
        <w:rPr>
          <w:rFonts w:ascii="微软雅黑" w:hAnsi="微软雅黑" w:cs="微软雅黑" w:eastAsia="微软雅黑"/>
        </w:rPr>
      </w:pPr>
      <w:r>
        <w:rPr>
          <w:rFonts w:ascii="微软雅黑" w:hAnsi="微软雅黑" w:cs="微软雅黑" w:eastAsia="微软雅黑"/>
        </w:rPr>
        <w:t>2.9 [国际视野] 具有全球意识和开放心态，了解国外基础教育改革发展的趋势 和前沿动态。积极参与国际教育交流。尝试借鉴国际先进教育理念和经验进行教育 教学。</w:t>
      </w:r>
    </w:p>
    <w:p>
      <w:pPr>
        <w:pStyle w:val="BodyText"/>
        <w:spacing w:line="390" w:lineRule="exact"/>
        <w:ind w:right="0" w:firstLine="480"/>
        <w:jc w:val="both"/>
        <w:rPr>
          <w:rFonts w:ascii="微软雅黑" w:hAnsi="微软雅黑" w:cs="微软雅黑" w:eastAsia="微软雅黑"/>
        </w:rPr>
      </w:pPr>
      <w:r>
        <w:rPr>
          <w:rFonts w:ascii="微软雅黑" w:hAnsi="微软雅黑" w:cs="微软雅黑" w:eastAsia="微软雅黑"/>
        </w:rPr>
        <w:t>2.10 [反思研究]</w:t>
      </w:r>
      <w:r>
        <w:rPr>
          <w:rFonts w:ascii="微软雅黑" w:hAnsi="微软雅黑" w:cs="微软雅黑" w:eastAsia="微软雅黑"/>
          <w:spacing w:val="45"/>
        </w:rPr>
        <w:t> </w:t>
      </w:r>
      <w:r>
        <w:rPr>
          <w:rFonts w:ascii="微软雅黑" w:hAnsi="微软雅黑" w:cs="微软雅黑" w:eastAsia="微软雅黑"/>
          <w:spacing w:val="-4"/>
        </w:rPr>
        <w:t>理解教师是反思型实践者。运用批判性思维方法，养成从学生</w:t>
      </w:r>
    </w:p>
    <w:p>
      <w:pPr>
        <w:pStyle w:val="BodyText"/>
        <w:spacing w:line="410" w:lineRule="exact" w:before="23"/>
        <w:ind w:right="0"/>
        <w:jc w:val="left"/>
        <w:rPr>
          <w:rFonts w:ascii="微软雅黑" w:hAnsi="微软雅黑" w:cs="微软雅黑" w:eastAsia="微软雅黑"/>
        </w:rPr>
      </w:pPr>
      <w:r>
        <w:rPr>
          <w:rFonts w:ascii="微软雅黑" w:hAnsi="微软雅黑" w:cs="微软雅黑" w:eastAsia="微软雅黑"/>
        </w:rPr>
        <w:t>学习、课程教学、学科理解等不同角度反思分析问题的习惯。掌握教育实践研究的 方法和指导学生探究学习的技能，具有一定的创新意识和教育教学研究能力。</w:t>
      </w:r>
    </w:p>
    <w:p>
      <w:pPr>
        <w:pStyle w:val="BodyText"/>
        <w:spacing w:line="410" w:lineRule="exact" w:before="2"/>
        <w:ind w:right="113" w:firstLine="480"/>
        <w:jc w:val="both"/>
        <w:rPr>
          <w:rFonts w:ascii="微软雅黑" w:hAnsi="微软雅黑" w:cs="微软雅黑" w:eastAsia="微软雅黑"/>
        </w:rPr>
      </w:pPr>
      <w:r>
        <w:rPr>
          <w:rFonts w:ascii="微软雅黑" w:hAnsi="微软雅黑" w:cs="微软雅黑" w:eastAsia="微软雅黑"/>
        </w:rPr>
        <w:t>2.11 [交流合作]</w:t>
      </w:r>
      <w:r>
        <w:rPr>
          <w:rFonts w:ascii="微软雅黑" w:hAnsi="微软雅黑" w:cs="微软雅黑" w:eastAsia="微软雅黑"/>
          <w:spacing w:val="45"/>
        </w:rPr>
        <w:t> </w:t>
      </w:r>
      <w:r>
        <w:rPr>
          <w:rFonts w:ascii="微软雅黑" w:hAnsi="微软雅黑" w:cs="微软雅黑" w:eastAsia="微软雅黑"/>
          <w:spacing w:val="-4"/>
        </w:rPr>
        <w:t>理解学习共同体的作用，具有团队协作精神，掌握沟通合作技</w:t>
      </w:r>
      <w:r>
        <w:rPr>
          <w:rFonts w:ascii="微软雅黑" w:hAnsi="微软雅黑" w:cs="微软雅黑" w:eastAsia="微软雅黑"/>
        </w:rPr>
        <w:t> 能，积极开展小组互助和合作学习。</w:t>
      </w:r>
    </w:p>
    <w:p>
      <w:pPr>
        <w:pStyle w:val="Heading5"/>
        <w:spacing w:line="240" w:lineRule="auto" w:before="84"/>
        <w:ind w:right="0"/>
        <w:jc w:val="both"/>
        <w:rPr>
          <w:b w:val="0"/>
          <w:bCs w:val="0"/>
        </w:rPr>
      </w:pPr>
      <w:bookmarkStart w:name="第一部分：达标情况" w:id="151"/>
      <w:bookmarkEnd w:id="151"/>
      <w:r>
        <w:rPr>
          <w:b w:val="0"/>
          <w:bCs w:val="0"/>
        </w:rPr>
      </w:r>
      <w:r>
        <w:rPr/>
        <w:t>第一部分：达标情况</w:t>
      </w:r>
      <w:r>
        <w:rPr>
          <w:b w:val="0"/>
          <w:bCs w:val="0"/>
        </w:rPr>
      </w:r>
    </w:p>
    <w:p>
      <w:pPr>
        <w:spacing w:after="0" w:line="240" w:lineRule="auto"/>
        <w:jc w:val="both"/>
        <w:sectPr>
          <w:headerReference w:type="default" r:id="rId63"/>
          <w:pgSz w:w="12240" w:h="15840"/>
          <w:pgMar w:header="773" w:footer="700" w:top="960" w:bottom="880" w:left="1680" w:right="1680"/>
        </w:sectPr>
      </w:pPr>
    </w:p>
    <w:p>
      <w:pPr>
        <w:spacing w:line="240" w:lineRule="auto" w:before="7"/>
        <w:rPr>
          <w:rFonts w:ascii="微软雅黑" w:hAnsi="微软雅黑" w:cs="微软雅黑" w:eastAsia="微软雅黑"/>
          <w:b/>
          <w:bCs/>
          <w:sz w:val="23"/>
          <w:szCs w:val="23"/>
        </w:rPr>
      </w:pPr>
    </w:p>
    <w:p>
      <w:pPr>
        <w:pStyle w:val="BodyText"/>
        <w:spacing w:line="312" w:lineRule="exact" w:before="56"/>
        <w:ind w:right="23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9"/>
        <w:ind w:left="120" w:right="0" w:firstLine="0"/>
        <w:jc w:val="both"/>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1"/>
        <w:rPr>
          <w:rFonts w:ascii="华文楷体" w:hAnsi="华文楷体" w:cs="华文楷体" w:eastAsia="华文楷体"/>
          <w:sz w:val="16"/>
          <w:szCs w:val="16"/>
        </w:rPr>
      </w:pPr>
    </w:p>
    <w:p>
      <w:pPr>
        <w:pStyle w:val="BodyText"/>
        <w:spacing w:line="240" w:lineRule="auto"/>
        <w:ind w:right="0"/>
        <w:jc w:val="both"/>
      </w:pPr>
      <w:r>
        <w:rPr/>
        <w:t>②列表说明专业毕业要求对专业培养目标的对应支撑情况并进行分析。</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8"/>
          <w:szCs w:val="28"/>
        </w:rPr>
      </w:pPr>
    </w:p>
    <w:p>
      <w:pPr>
        <w:pStyle w:val="BodyText"/>
        <w:spacing w:line="424" w:lineRule="auto"/>
        <w:ind w:right="35"/>
        <w:jc w:val="left"/>
      </w:pPr>
      <w:r>
        <w:rPr/>
        <w:t>③列表说明专业毕业要求对认证标准“毕业要求”11</w:t>
      </w:r>
      <w:r>
        <w:rPr>
          <w:spacing w:val="-18"/>
        </w:rPr>
        <w:t> </w:t>
      </w:r>
      <w:r>
        <w:rPr>
          <w:spacing w:val="-3"/>
        </w:rPr>
        <w:t>条（2.1-2.11）的覆盖情况并进</w:t>
      </w:r>
      <w:r>
        <w:rPr/>
        <w:t> </w:t>
      </w:r>
      <w:r>
        <w:rPr>
          <w:spacing w:val="-5"/>
        </w:rPr>
        <w:t>行分析（专业不宜照搬这 </w:t>
      </w:r>
      <w:r>
        <w:rPr/>
        <w:t>11</w:t>
      </w:r>
      <w:r>
        <w:rPr>
          <w:spacing w:val="26"/>
        </w:rPr>
        <w:t> </w:t>
      </w:r>
      <w:r>
        <w:rPr>
          <w:spacing w:val="-3"/>
        </w:rPr>
        <w:t>条要求，而应结合本专业培养目标制定出自己的毕业要</w:t>
      </w:r>
    </w:p>
    <w:p>
      <w:pPr>
        <w:pStyle w:val="BodyText"/>
        <w:spacing w:line="240" w:lineRule="auto" w:before="65"/>
        <w:ind w:right="35"/>
        <w:jc w:val="left"/>
      </w:pPr>
      <w:r>
        <w:rPr/>
        <w:t>求，并在广度、深度和程度上完全覆盖认证标准 11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1968" w:right="2086"/>
        <w:jc w:val="center"/>
      </w:pPr>
      <w:r>
        <w:rPr/>
        <w:t>专业毕业要求与认证标准毕业要求 11 条对照表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pStyle w:val="BodyText"/>
        <w:spacing w:line="240" w:lineRule="auto" w:before="65"/>
        <w:ind w:left="2640" w:right="35"/>
        <w:jc w:val="left"/>
      </w:pPr>
      <w:r>
        <w:rPr/>
        <w:t>最近一次毕业要求达成评价结果表</w:t>
      </w:r>
    </w:p>
    <w:p>
      <w:pPr>
        <w:spacing w:after="0" w:line="240"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9"/>
          <w:szCs w:val="19"/>
        </w:rPr>
      </w:pPr>
    </w:p>
    <w:p>
      <w:pPr>
        <w:pStyle w:val="Heading5"/>
        <w:spacing w:line="355" w:lineRule="exact"/>
        <w:ind w:right="0"/>
        <w:jc w:val="both"/>
        <w:rPr>
          <w:b w:val="0"/>
          <w:bCs w:val="0"/>
        </w:rPr>
      </w:pPr>
      <w:bookmarkStart w:name="第二部分：主要问题" w:id="152"/>
      <w:bookmarkEnd w:id="152"/>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0"/>
        <w:jc w:val="both"/>
        <w:rPr>
          <w:b w:val="0"/>
          <w:bCs w:val="0"/>
        </w:rPr>
      </w:pPr>
      <w:bookmarkStart w:name="第三部分：改进措施" w:id="153"/>
      <w:bookmarkEnd w:id="153"/>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3课程与教学" w:id="154"/>
      <w:bookmarkEnd w:id="154"/>
      <w:r>
        <w:rPr>
          <w:b w:val="0"/>
          <w:bCs w:val="0"/>
        </w:rPr>
      </w:r>
      <w:r>
        <w:rPr/>
        <w:t>标准 3</w:t>
      </w:r>
      <w:r>
        <w:rPr>
          <w:spacing w:val="-32"/>
        </w:rPr>
        <w:t> </w:t>
      </w:r>
      <w:r>
        <w:rPr/>
        <w:t>课程与教学</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55"/>
      <w:bookmarkEnd w:id="155"/>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3"/>
        <w:ind w:right="0"/>
        <w:jc w:val="left"/>
        <w:rPr>
          <w:rFonts w:ascii="微软雅黑" w:hAnsi="微软雅黑" w:cs="微软雅黑" w:eastAsia="微软雅黑"/>
        </w:rPr>
      </w:pPr>
      <w:r>
        <w:rPr>
          <w:rFonts w:ascii="微软雅黑" w:hAnsi="微软雅黑" w:cs="微软雅黑" w:eastAsia="微软雅黑"/>
        </w:rPr>
        <w:t>3.1</w:t>
      </w:r>
      <w:r>
        <w:rPr>
          <w:rFonts w:ascii="微软雅黑" w:hAnsi="微软雅黑" w:cs="微软雅黑" w:eastAsia="微软雅黑"/>
          <w:spacing w:val="13"/>
        </w:rPr>
        <w:t> </w:t>
      </w:r>
      <w:r>
        <w:rPr>
          <w:rFonts w:ascii="微软雅黑" w:hAnsi="微软雅黑" w:cs="微软雅黑" w:eastAsia="微软雅黑"/>
          <w:spacing w:val="-3"/>
        </w:rPr>
        <w:t>[课程设置]课程设置应符合小学教师专业标准和教师教育课程标准要求，跟踪对</w:t>
      </w:r>
      <w:r>
        <w:rPr>
          <w:rFonts w:ascii="微软雅黑" w:hAnsi="微软雅黑" w:cs="微软雅黑" w:eastAsia="微软雅黑"/>
          <w:spacing w:val="-69"/>
        </w:rPr>
        <w:t> </w:t>
      </w:r>
      <w:r>
        <w:rPr>
          <w:rFonts w:ascii="微软雅黑" w:hAnsi="微软雅黑" w:cs="微软雅黑" w:eastAsia="微软雅黑"/>
          <w:spacing w:val="-69"/>
        </w:rPr>
      </w:r>
      <w:r>
        <w:rPr>
          <w:rFonts w:ascii="微软雅黑" w:hAnsi="微软雅黑" w:cs="微软雅黑" w:eastAsia="微软雅黑"/>
        </w:rPr>
        <w:t>接基础教育课程改革前沿，能够支撑毕业要求达成。</w:t>
      </w:r>
    </w:p>
    <w:p>
      <w:pPr>
        <w:spacing w:line="240" w:lineRule="auto" w:before="4"/>
        <w:rPr>
          <w:rFonts w:ascii="微软雅黑" w:hAnsi="微软雅黑" w:cs="微软雅黑" w:eastAsia="微软雅黑"/>
          <w:sz w:val="14"/>
          <w:szCs w:val="14"/>
        </w:rPr>
      </w:pPr>
    </w:p>
    <w:p>
      <w:pPr>
        <w:pStyle w:val="BodyText"/>
        <w:spacing w:line="424" w:lineRule="auto"/>
        <w:ind w:right="0"/>
        <w:jc w:val="left"/>
        <w:rPr>
          <w:rFonts w:ascii="华文楷体" w:hAnsi="华文楷体" w:cs="华文楷体" w:eastAsia="华文楷体"/>
        </w:rPr>
      </w:pPr>
      <w:r>
        <w:rPr/>
        <w:t>①</w:t>
      </w:r>
      <w:r>
        <w:rPr>
          <w:spacing w:val="19"/>
        </w:rPr>
        <w:t> </w:t>
      </w:r>
      <w:r>
        <w:rPr>
          <w:spacing w:val="-4"/>
        </w:rPr>
        <w:t>描述说明现行培养方案中课程体系整体架构与特点，学分认定的规则。展示现行</w:t>
      </w:r>
      <w:r>
        <w:rPr/>
        <w:t> 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spacing w:after="0" w:line="424" w:lineRule="auto"/>
        <w:jc w:val="left"/>
        <w:rPr>
          <w:rFonts w:ascii="华文楷体" w:hAnsi="华文楷体" w:cs="华文楷体" w:eastAsia="华文楷体"/>
        </w:rPr>
        <w:sectPr>
          <w:headerReference w:type="default" r:id="rId64"/>
          <w:pgSz w:w="12240" w:h="15840"/>
          <w:pgMar w:header="773" w:footer="700" w:top="960" w:bottom="880" w:left="1680" w:right="1680"/>
        </w:sectPr>
      </w:pPr>
    </w:p>
    <w:p>
      <w:pPr>
        <w:spacing w:line="240" w:lineRule="auto" w:before="0"/>
        <w:rPr>
          <w:rFonts w:ascii="华文楷体" w:hAnsi="华文楷体" w:cs="华文楷体" w:eastAsia="华文楷体"/>
          <w:b/>
          <w:bCs/>
          <w:sz w:val="20"/>
          <w:szCs w:val="20"/>
        </w:rPr>
      </w:pPr>
    </w:p>
    <w:p>
      <w:pPr>
        <w:spacing w:line="240" w:lineRule="auto" w:before="13"/>
        <w:rPr>
          <w:rFonts w:ascii="华文楷体" w:hAnsi="华文楷体" w:cs="华文楷体" w:eastAsia="华文楷体"/>
          <w:b/>
          <w:bCs/>
          <w:sz w:val="18"/>
          <w:szCs w:val="18"/>
        </w:rPr>
      </w:pPr>
    </w:p>
    <w:p>
      <w:pPr>
        <w:pStyle w:val="BodyText"/>
        <w:spacing w:line="424" w:lineRule="auto"/>
        <w:ind w:left="220" w:right="0"/>
        <w:jc w:val="left"/>
      </w:pPr>
      <w:r>
        <w:rPr/>
        <w:pict>
          <v:shape style="position:absolute;margin-left:84.360001pt;margin-top:57.6175pt;width:443.55pt;height:159pt;mso-position-horizontal-relative:page;mso-position-vertical-relative:paragraph;z-index:143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268" w:firstLine="0"/>
        <w:jc w:val="both"/>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line="240" w:lineRule="auto" w:before="9"/>
        <w:rPr>
          <w:rFonts w:ascii="华文楷体" w:hAnsi="华文楷体" w:cs="华文楷体" w:eastAsia="华文楷体"/>
          <w:sz w:val="19"/>
          <w:szCs w:val="19"/>
        </w:rPr>
      </w:pPr>
    </w:p>
    <w:p>
      <w:pPr>
        <w:pStyle w:val="BodyText"/>
        <w:spacing w:line="424" w:lineRule="auto"/>
        <w:ind w:left="220" w:right="219"/>
        <w:jc w:val="both"/>
      </w:pPr>
      <w:r>
        <w:rPr/>
        <w:t>③列表说明课程体系设置符合小学教师专业标准、教师教育课程标准和专业教学相 关标准要求，跟踪对接国际基础教育改革新趋势、新动向情况，及用于支撑专业培 养目标特色和优势的课程情况并进行分析。</w:t>
      </w:r>
    </w:p>
    <w:p>
      <w:pPr>
        <w:pStyle w:val="BodyText"/>
        <w:spacing w:line="237" w:lineRule="auto" w:before="78"/>
        <w:ind w:left="220" w:right="215"/>
        <w:jc w:val="both"/>
        <w:rPr>
          <w:rFonts w:ascii="微软雅黑" w:hAnsi="微软雅黑" w:cs="微软雅黑" w:eastAsia="微软雅黑"/>
        </w:rPr>
      </w:pPr>
      <w:r>
        <w:rPr>
          <w:rFonts w:ascii="微软雅黑" w:hAnsi="微软雅黑" w:cs="微软雅黑" w:eastAsia="微软雅黑"/>
        </w:rPr>
        <w:t>3.2 [课程结构] 课程结构体现通识教育、学科专业教育与教师教育深度融合，理论 课程与实践课程、必修课与选修课设置合理。各类课程学分比例恰当，通识教育课 程中的人文社会与科学素养课程学分不低于总学分的</w:t>
      </w:r>
      <w:r>
        <w:rPr>
          <w:rFonts w:ascii="微软雅黑" w:hAnsi="微软雅黑" w:cs="微软雅黑" w:eastAsia="微软雅黑"/>
          <w:spacing w:val="-7"/>
        </w:rPr>
        <w:t> </w:t>
      </w:r>
      <w:r>
        <w:rPr>
          <w:rFonts w:ascii="微软雅黑" w:hAnsi="微软雅黑" w:cs="微软雅黑" w:eastAsia="微软雅黑"/>
          <w:spacing w:val="-6"/>
        </w:rPr>
        <w:t>10%，学科专业课程学分不低</w:t>
      </w:r>
      <w:r>
        <w:rPr>
          <w:rFonts w:ascii="微软雅黑" w:hAnsi="微软雅黑" w:cs="微软雅黑" w:eastAsia="微软雅黑"/>
        </w:rPr>
        <w:t> 于总学分的</w:t>
      </w:r>
      <w:r>
        <w:rPr>
          <w:rFonts w:ascii="微软雅黑" w:hAnsi="微软雅黑" w:cs="微软雅黑" w:eastAsia="微软雅黑"/>
          <w:spacing w:val="-16"/>
        </w:rPr>
        <w:t> </w:t>
      </w:r>
      <w:r>
        <w:rPr>
          <w:rFonts w:ascii="微软雅黑" w:hAnsi="微软雅黑" w:cs="微软雅黑" w:eastAsia="微软雅黑"/>
        </w:rPr>
        <w:t>35%，教师教育课程达到教师教育课程标准规定的学分要求。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left="220"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left="220" w:right="219"/>
        <w:jc w:val="both"/>
      </w:pPr>
      <w:r>
        <w:rPr/>
        <w:t>②描述说明各类课程设置与学分比例达到认证标准并能够满足“一践行三学会”养 成教育要求。</w:t>
      </w:r>
    </w:p>
    <w:p>
      <w:pPr>
        <w:pStyle w:val="BodyText"/>
        <w:spacing w:line="237" w:lineRule="auto" w:before="78"/>
        <w:ind w:left="220" w:right="215"/>
        <w:jc w:val="both"/>
        <w:rPr>
          <w:rFonts w:ascii="微软雅黑" w:hAnsi="微软雅黑" w:cs="微软雅黑" w:eastAsia="微软雅黑"/>
        </w:rPr>
      </w:pPr>
      <w:r>
        <w:rPr>
          <w:rFonts w:ascii="微软雅黑" w:hAnsi="微软雅黑" w:cs="微软雅黑" w:eastAsia="微软雅黑"/>
        </w:rPr>
        <w:t>3.3 [课程内容] 课程内容体现小学教育的专业性，注重基础性、科学性、综合性、 实践性，把社会主义核心价值观、师德教育有机融入课程教学中。选用优秀教材， 吸收学科前沿知识，引入课程改革和教育研究最新成果、优秀小学教育教学案例，</w:t>
      </w:r>
    </w:p>
    <w:p>
      <w:pPr>
        <w:spacing w:after="0" w:line="237" w:lineRule="auto"/>
        <w:jc w:val="both"/>
        <w:rPr>
          <w:rFonts w:ascii="微软雅黑" w:hAnsi="微软雅黑" w:cs="微软雅黑" w:eastAsia="微软雅黑"/>
        </w:rPr>
        <w:sectPr>
          <w:pgSz w:w="12240" w:h="15840"/>
          <w:pgMar w:header="773" w:footer="700" w:top="960" w:bottom="880" w:left="1580" w:right="158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35"/>
        <w:jc w:val="left"/>
        <w:rPr>
          <w:rFonts w:ascii="微软雅黑" w:hAnsi="微软雅黑" w:cs="微软雅黑" w:eastAsia="微软雅黑"/>
        </w:rPr>
      </w:pPr>
      <w:r>
        <w:rPr>
          <w:rFonts w:ascii="微软雅黑" w:hAnsi="微软雅黑" w:cs="微软雅黑" w:eastAsia="微软雅黑"/>
        </w:rPr>
        <w:t>并能够结合师范生学习状况及时更新、完善课程内容，形成促进师范生主体发展的</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多样性、特色化的课程文化。</w:t>
      </w:r>
    </w:p>
    <w:p>
      <w:pPr>
        <w:spacing w:line="240" w:lineRule="auto" w:before="7"/>
        <w:rPr>
          <w:rFonts w:ascii="微软雅黑" w:hAnsi="微软雅黑" w:cs="微软雅黑" w:eastAsia="微软雅黑"/>
          <w:sz w:val="17"/>
          <w:szCs w:val="17"/>
        </w:rPr>
      </w:pPr>
    </w:p>
    <w:p>
      <w:pPr>
        <w:pStyle w:val="BodyText"/>
        <w:spacing w:line="424" w:lineRule="auto"/>
        <w:ind w:right="35"/>
        <w:jc w:val="left"/>
      </w:pPr>
      <w:r>
        <w:rPr/>
        <w:t>①描述说明课程内容体现小学教育专业性，注重基础性、科学性、综合性和实践性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③描述说明课程内容引入课程改革和教育研究最新成果和青少年发展与教育研究最 新成果、优秀小学教育教学案例的情况，并举例说明。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35"/>
        <w:jc w:val="left"/>
      </w:pPr>
      <w:r>
        <w:rPr/>
        <w:t>④描述说明课程内容更新、动态调整机制及执行情况。</w:t>
      </w:r>
    </w:p>
    <w:p>
      <w:pPr>
        <w:spacing w:line="240" w:lineRule="auto" w:before="3"/>
        <w:rPr>
          <w:rFonts w:ascii="华文楷体" w:hAnsi="华文楷体" w:cs="华文楷体" w:eastAsia="华文楷体"/>
          <w:sz w:val="29"/>
          <w:szCs w:val="29"/>
        </w:rPr>
      </w:pPr>
    </w:p>
    <w:p>
      <w:pPr>
        <w:pStyle w:val="BodyText"/>
        <w:spacing w:line="240" w:lineRule="auto"/>
        <w:ind w:right="35"/>
        <w:jc w:val="left"/>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3.4</w:t>
      </w:r>
      <w:r>
        <w:rPr>
          <w:rFonts w:ascii="微软雅黑" w:hAnsi="微软雅黑" w:cs="微软雅黑" w:eastAsia="微软雅黑"/>
          <w:spacing w:val="4"/>
        </w:rPr>
        <w:t> </w:t>
      </w:r>
      <w:r>
        <w:rPr>
          <w:rFonts w:ascii="微软雅黑" w:hAnsi="微软雅黑" w:cs="微软雅黑" w:eastAsia="微软雅黑"/>
        </w:rPr>
        <w:t>[课程实施]</w:t>
      </w:r>
      <w:r>
        <w:rPr>
          <w:rFonts w:ascii="微软雅黑" w:hAnsi="微软雅黑" w:cs="微软雅黑" w:eastAsia="微软雅黑"/>
          <w:spacing w:val="59"/>
        </w:rPr>
        <w:t> </w:t>
      </w:r>
      <w:r>
        <w:rPr>
          <w:rFonts w:ascii="微软雅黑" w:hAnsi="微软雅黑" w:cs="微软雅黑" w:eastAsia="微软雅黑"/>
        </w:rPr>
        <w:t>重视课堂教学在培养过程中的基础作用。依据毕业要求制定课程目</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rPr>
        <w:t>标和教学大纲，教学内容、教学方法、考核内容与方式应能支持课程目标的实现。 </w:t>
      </w:r>
      <w:r>
        <w:rPr>
          <w:rFonts w:ascii="微软雅黑" w:hAnsi="微软雅黑" w:cs="微软雅黑" w:eastAsia="微软雅黑"/>
          <w:spacing w:val="-4"/>
        </w:rPr>
        <w:t>注重师范生的主体参与和实践体验，注重以课堂教学、课外指导提升自主学习能力，</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注重应用信息技术推进教与学的改革。技能训练课程实行小班教学，形式多样，富 </w:t>
      </w:r>
      <w:r>
        <w:rPr>
          <w:rFonts w:ascii="微软雅黑" w:hAnsi="微软雅黑" w:cs="微软雅黑" w:eastAsia="微软雅黑"/>
          <w:spacing w:val="-4"/>
        </w:rPr>
        <w:t>有成效，师范生“三字一话”等从教基本功扎实。校园文化活动具有教师教育特色，</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有利于养成从教信念、专业素养与创新能力。</w:t>
      </w:r>
    </w:p>
    <w:p>
      <w:pPr>
        <w:spacing w:line="240" w:lineRule="auto" w:before="8"/>
        <w:rPr>
          <w:rFonts w:ascii="微软雅黑" w:hAnsi="微软雅黑" w:cs="微软雅黑" w:eastAsia="微软雅黑"/>
          <w:sz w:val="17"/>
          <w:szCs w:val="17"/>
        </w:rPr>
      </w:pPr>
    </w:p>
    <w:p>
      <w:pPr>
        <w:pStyle w:val="BodyText"/>
        <w:spacing w:line="240" w:lineRule="auto"/>
        <w:ind w:right="35"/>
        <w:jc w:val="left"/>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35"/>
        <w:jc w:val="left"/>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③描述说明专业注重师范生的主体参与和实践体验，以课堂教学、课外指导提升自 主学习能力，应用信息技术推进教与学的改革情况。</w:t>
      </w:r>
    </w:p>
    <w:p>
      <w:pPr>
        <w:spacing w:after="0" w:line="424" w:lineRule="auto"/>
        <w:jc w:val="left"/>
        <w:sectPr>
          <w:headerReference w:type="default" r:id="rId65"/>
          <w:footerReference w:type="default" r:id="rId66"/>
          <w:pgSz w:w="12240" w:h="15840"/>
          <w:pgMar w:header="0" w:footer="700" w:top="880" w:bottom="880" w:left="1680" w:right="1560"/>
          <w:pgNumType w:start="8"/>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0"/>
        <w:jc w:val="left"/>
      </w:pPr>
      <w:r>
        <w:rPr/>
        <w:t>④描述说明教师基本技能、小学教师“三字一话”等从教基本功训练以及师德养成 教育情况与效果。</w:t>
      </w:r>
    </w:p>
    <w:p>
      <w:pPr>
        <w:spacing w:line="240" w:lineRule="auto" w:before="1"/>
        <w:rPr>
          <w:rFonts w:ascii="华文楷体" w:hAnsi="华文楷体" w:cs="华文楷体" w:eastAsia="华文楷体"/>
          <w:sz w:val="15"/>
          <w:szCs w:val="15"/>
        </w:rPr>
      </w:pPr>
    </w:p>
    <w:p>
      <w:pPr>
        <w:pStyle w:val="BodyText"/>
        <w:spacing w:line="240" w:lineRule="auto"/>
        <w:ind w:right="0"/>
        <w:jc w:val="left"/>
      </w:pPr>
      <w:r>
        <w:rPr>
          <w:rFonts w:ascii="楷体" w:hAnsi="楷体" w:cs="楷体" w:eastAsia="楷体"/>
        </w:rPr>
        <w:t>⑤</w:t>
      </w:r>
      <w:r>
        <w:rPr/>
        <w:t>描述说明校园文化活动对师范生从教信仰、专业素养与创新能力培养的作用。</w:t>
      </w:r>
    </w:p>
    <w:p>
      <w:pPr>
        <w:spacing w:line="240" w:lineRule="auto" w:before="12"/>
        <w:rPr>
          <w:rFonts w:ascii="华文楷体" w:hAnsi="华文楷体" w:cs="华文楷体" w:eastAsia="华文楷体"/>
          <w:sz w:val="20"/>
          <w:szCs w:val="20"/>
        </w:rPr>
      </w:pPr>
    </w:p>
    <w:p>
      <w:pPr>
        <w:pStyle w:val="BodyText"/>
        <w:spacing w:line="410" w:lineRule="exact"/>
        <w:ind w:right="0"/>
        <w:jc w:val="left"/>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6"/>
        <w:rPr>
          <w:rFonts w:ascii="微软雅黑" w:hAnsi="微软雅黑" w:cs="微软雅黑" w:eastAsia="微软雅黑"/>
          <w:sz w:val="25"/>
          <w:szCs w:val="25"/>
        </w:rPr>
      </w:pPr>
    </w:p>
    <w:p>
      <w:pPr>
        <w:pStyle w:val="BodyText"/>
        <w:spacing w:line="424" w:lineRule="auto"/>
        <w:ind w:right="0"/>
        <w:jc w:val="left"/>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0"/>
        <w:jc w:val="left"/>
      </w:pPr>
      <w:r>
        <w:rPr/>
        <w:t>②列表说明最近一次课程体系合理性评价及课程目标达成评价情况并评价结果进行 分析。</w:t>
      </w:r>
    </w:p>
    <w:p>
      <w:pPr>
        <w:pStyle w:val="BodyText"/>
        <w:spacing w:line="240" w:lineRule="auto" w:before="65"/>
        <w:ind w:right="0"/>
        <w:jc w:val="left"/>
      </w:pPr>
      <w:r>
        <w:rPr/>
        <w:t>③描述说明专业最近一次课程体系及课程目标根据评价结果进行修订情况。</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④描述说明用人单位、师范毕业生等利益相关方参与评价与修订的过程、方式和发 挥的作用。</w:t>
      </w:r>
    </w:p>
    <w:p>
      <w:pPr>
        <w:pStyle w:val="Heading5"/>
        <w:spacing w:line="240" w:lineRule="auto" w:before="180"/>
        <w:ind w:right="5699"/>
        <w:jc w:val="left"/>
        <w:rPr>
          <w:b w:val="0"/>
          <w:bCs w:val="0"/>
        </w:rPr>
      </w:pPr>
      <w:bookmarkStart w:name="第二部分：主要问题" w:id="156"/>
      <w:bookmarkEnd w:id="156"/>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5699"/>
        <w:jc w:val="left"/>
        <w:rPr>
          <w:b w:val="0"/>
          <w:bCs w:val="0"/>
        </w:rPr>
      </w:pPr>
      <w:bookmarkStart w:name="第三部分：改进措施" w:id="157"/>
      <w:bookmarkEnd w:id="157"/>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after="0" w:line="312" w:lineRule="exact"/>
        <w:jc w:val="left"/>
        <w:rPr>
          <w:rFonts w:ascii="楷体" w:hAnsi="楷体" w:cs="楷体" w:eastAsia="楷体"/>
        </w:rPr>
        <w:sectPr>
          <w:headerReference w:type="default" r:id="rId67"/>
          <w:pgSz w:w="12240" w:h="15840"/>
          <w:pgMar w:header="773" w:footer="700" w:top="960" w:bottom="880" w:left="1680" w:right="168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35"/>
        <w:jc w:val="left"/>
        <w:rPr>
          <w:b w:val="0"/>
          <w:bCs w:val="0"/>
        </w:rPr>
      </w:pPr>
      <w:bookmarkStart w:name="标准4合作与实践" w:id="158"/>
      <w:bookmarkEnd w:id="158"/>
      <w:r>
        <w:rPr>
          <w:b w:val="0"/>
          <w:bCs w:val="0"/>
        </w:rPr>
      </w:r>
      <w:r>
        <w:rPr/>
        <w:t>标准 4</w:t>
      </w:r>
      <w:r>
        <w:rPr>
          <w:spacing w:val="-32"/>
        </w:rPr>
        <w:t> </w:t>
      </w:r>
      <w:r>
        <w:rPr/>
        <w:t>合作与实践</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35"/>
        <w:jc w:val="left"/>
        <w:rPr>
          <w:b w:val="0"/>
          <w:bCs w:val="0"/>
        </w:rPr>
      </w:pPr>
      <w:bookmarkStart w:name="第一部分：达标情况" w:id="159"/>
      <w:bookmarkEnd w:id="159"/>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tabs>
          <w:tab w:pos="705" w:val="left" w:leader="none"/>
        </w:tabs>
        <w:spacing w:line="237" w:lineRule="auto" w:before="130"/>
        <w:ind w:right="119"/>
        <w:jc w:val="left"/>
        <w:rPr>
          <w:rFonts w:ascii="微软雅黑" w:hAnsi="微软雅黑" w:cs="微软雅黑" w:eastAsia="微软雅黑"/>
        </w:rPr>
      </w:pPr>
      <w:r>
        <w:rPr>
          <w:rFonts w:ascii="微软雅黑" w:hAnsi="微软雅黑" w:cs="微软雅黑" w:eastAsia="微软雅黑"/>
          <w:w w:val="95"/>
        </w:rPr>
        <w:t>4.1</w:t>
        <w:tab/>
      </w:r>
      <w:r>
        <w:rPr>
          <w:rFonts w:ascii="微软雅黑" w:hAnsi="微软雅黑" w:cs="微软雅黑" w:eastAsia="微软雅黑"/>
        </w:rPr>
        <w:t>[协同育人] </w:t>
      </w:r>
      <w:r>
        <w:rPr>
          <w:rFonts w:ascii="微软雅黑" w:hAnsi="微软雅黑" w:cs="微软雅黑" w:eastAsia="微软雅黑"/>
          <w:spacing w:val="2"/>
        </w:rPr>
        <w:t> 与地方教育行政部门和小学建立权责明晰、稳定协调、合作共赢</w:t>
      </w:r>
      <w:r>
        <w:rPr>
          <w:rFonts w:ascii="微软雅黑" w:hAnsi="微软雅黑" w:cs="微软雅黑" w:eastAsia="微软雅黑"/>
        </w:rPr>
        <w:t> </w:t>
      </w:r>
      <w:r>
        <w:rPr>
          <w:rFonts w:ascii="微软雅黑" w:hAnsi="微软雅黑" w:cs="微软雅黑" w:eastAsia="微软雅黑"/>
          <w:spacing w:val="-4"/>
        </w:rPr>
        <w:t>的“三位一体”协同培养机制，协同制定培养目标、设计课程体系、建设课程资源、</w:t>
      </w:r>
      <w:r>
        <w:rPr>
          <w:rFonts w:ascii="微软雅黑" w:hAnsi="微软雅黑" w:cs="微软雅黑" w:eastAsia="微软雅黑"/>
          <w:spacing w:val="-43"/>
        </w:rPr>
        <w:t> </w:t>
      </w:r>
      <w:r>
        <w:rPr>
          <w:rFonts w:ascii="微软雅黑" w:hAnsi="微软雅黑" w:cs="微软雅黑" w:eastAsia="微软雅黑"/>
          <w:spacing w:val="-43"/>
        </w:rPr>
      </w:r>
      <w:r>
        <w:rPr>
          <w:rFonts w:ascii="微软雅黑" w:hAnsi="微软雅黑" w:cs="微软雅黑" w:eastAsia="微软雅黑"/>
        </w:rPr>
        <w:t>组织教学团队、建设实践基地、开展教学研究、评价培养质量，形成教师培养、培 训、研究和服务一体化的合作共同体。</w:t>
      </w:r>
    </w:p>
    <w:p>
      <w:pPr>
        <w:pStyle w:val="BodyText"/>
        <w:spacing w:line="240" w:lineRule="auto" w:before="143"/>
        <w:ind w:right="35"/>
        <w:jc w:val="left"/>
      </w:pPr>
      <w:r>
        <w:rPr/>
        <w:t>①描述学校与地方教育行政部门和小学建立“三位一体”协同培养机制情况。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②描述学校与小学合作搭建教师专业发展平台，形成小学教师培养、培训、研究和 服务一体化的合作共同体情况。</w:t>
      </w:r>
    </w:p>
    <w:p>
      <w:pPr>
        <w:pStyle w:val="BodyText"/>
        <w:spacing w:line="240" w:lineRule="auto" w:before="65"/>
        <w:ind w:right="35"/>
        <w:jc w:val="left"/>
      </w:pPr>
      <w:r>
        <w:rPr/>
        <w:t>③描述“三位一体”协同育人工作成效。</w:t>
      </w:r>
    </w:p>
    <w:p>
      <w:pPr>
        <w:pStyle w:val="BodyText"/>
        <w:spacing w:line="414" w:lineRule="exact" w:before="126"/>
        <w:ind w:right="35"/>
        <w:jc w:val="left"/>
        <w:rPr>
          <w:rFonts w:ascii="微软雅黑" w:hAnsi="微软雅黑" w:cs="微软雅黑" w:eastAsia="微软雅黑"/>
        </w:rPr>
      </w:pPr>
      <w:r>
        <w:rPr>
          <w:rFonts w:ascii="微软雅黑" w:hAnsi="微软雅黑" w:cs="微软雅黑" w:eastAsia="微软雅黑"/>
        </w:rPr>
        <w:t>4.2 [基地建设] </w:t>
      </w:r>
      <w:r>
        <w:rPr>
          <w:rFonts w:ascii="微软雅黑" w:hAnsi="微软雅黑" w:cs="微软雅黑" w:eastAsia="微软雅黑"/>
          <w:spacing w:val="2"/>
        </w:rPr>
        <w:t> </w:t>
      </w:r>
      <w:r>
        <w:rPr>
          <w:rFonts w:ascii="微软雅黑" w:hAnsi="微软雅黑" w:cs="微软雅黑" w:eastAsia="微软雅黑"/>
        </w:rPr>
        <w:t>建有长期稳定的教育实践基地。实践基地具有良好的校风，较强的</w:t>
      </w:r>
    </w:p>
    <w:p>
      <w:pPr>
        <w:pStyle w:val="BodyText"/>
        <w:spacing w:line="413" w:lineRule="exact"/>
        <w:ind w:right="35"/>
        <w:jc w:val="left"/>
        <w:rPr>
          <w:rFonts w:ascii="微软雅黑" w:hAnsi="微软雅黑" w:cs="微软雅黑" w:eastAsia="微软雅黑"/>
        </w:rPr>
      </w:pPr>
      <w:r>
        <w:rPr>
          <w:rFonts w:ascii="微软雅黑" w:hAnsi="微软雅黑" w:cs="微软雅黑" w:eastAsia="微软雅黑"/>
        </w:rPr>
        <w:t>师资力量、学科优势、管理优势、课程资源优势和教改实践优势。每 20</w:t>
      </w:r>
      <w:r>
        <w:rPr>
          <w:rFonts w:ascii="微软雅黑" w:hAnsi="微软雅黑" w:cs="微软雅黑" w:eastAsia="微软雅黑"/>
          <w:spacing w:val="41"/>
        </w:rPr>
        <w:t> </w:t>
      </w:r>
      <w:r>
        <w:rPr>
          <w:rFonts w:ascii="微软雅黑" w:hAnsi="微软雅黑" w:cs="微软雅黑" w:eastAsia="微软雅黑"/>
        </w:rPr>
        <w:t>个实习生</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不少于 1</w:t>
      </w:r>
      <w:r>
        <w:rPr>
          <w:rFonts w:ascii="微软雅黑" w:hAnsi="微软雅黑" w:cs="微软雅黑" w:eastAsia="微软雅黑"/>
          <w:spacing w:val="-25"/>
        </w:rPr>
        <w:t> </w:t>
      </w:r>
      <w:r>
        <w:rPr>
          <w:rFonts w:ascii="微软雅黑" w:hAnsi="微软雅黑" w:cs="微软雅黑" w:eastAsia="微软雅黑"/>
        </w:rPr>
        <w:t>个教育实践基地，其中，示范性教育实践基地不少于三分之一。</w:t>
      </w:r>
    </w:p>
    <w:p>
      <w:pPr>
        <w:pStyle w:val="BodyText"/>
        <w:spacing w:line="424" w:lineRule="auto" w:before="142"/>
        <w:ind w:right="35"/>
        <w:jc w:val="left"/>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35"/>
        <w:jc w:val="left"/>
      </w:pPr>
      <w:r>
        <w:rPr/>
        <w:t>②描述学校利用实践基地开展专业培养的相关制度和举措及其成效。</w:t>
      </w:r>
    </w:p>
    <w:p>
      <w:pPr>
        <w:pStyle w:val="BodyText"/>
        <w:spacing w:line="237" w:lineRule="auto" w:before="129"/>
        <w:ind w:right="35"/>
        <w:jc w:val="left"/>
        <w:rPr>
          <w:rFonts w:ascii="微软雅黑" w:hAnsi="微软雅黑" w:cs="微软雅黑" w:eastAsia="微软雅黑"/>
        </w:rPr>
      </w:pPr>
      <w:r>
        <w:rPr>
          <w:rFonts w:ascii="微软雅黑" w:hAnsi="微软雅黑" w:cs="微软雅黑" w:eastAsia="微软雅黑"/>
        </w:rPr>
        <w:t>4.3</w:t>
      </w:r>
      <w:r>
        <w:rPr>
          <w:rFonts w:ascii="微软雅黑" w:hAnsi="微软雅黑" w:cs="微软雅黑" w:eastAsia="微软雅黑"/>
          <w:spacing w:val="4"/>
        </w:rPr>
        <w:t> </w:t>
      </w:r>
      <w:r>
        <w:rPr>
          <w:rFonts w:ascii="微软雅黑" w:hAnsi="微软雅黑" w:cs="微软雅黑" w:eastAsia="微软雅黑"/>
        </w:rPr>
        <w:t>[实践教学]</w:t>
      </w:r>
      <w:r>
        <w:rPr>
          <w:rFonts w:ascii="微软雅黑" w:hAnsi="微软雅黑" w:cs="微软雅黑" w:eastAsia="微软雅黑"/>
          <w:spacing w:val="59"/>
        </w:rPr>
        <w:t> </w:t>
      </w:r>
      <w:r>
        <w:rPr>
          <w:rFonts w:ascii="微软雅黑" w:hAnsi="微软雅黑" w:cs="微软雅黑" w:eastAsia="微软雅黑"/>
        </w:rPr>
        <w:t>实践教学体系完整。教育见习、教育实习、教育研习递进贯通，涵</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盖师德体验、教学实践、班级管理实践和教研实践等，并与其他教育环节有机衔接。</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教育实践时间累计不少于一学期。学校集中组织教育实习，保证师范生实习期间的 上课时数和上课类型。</w:t>
      </w:r>
    </w:p>
    <w:p>
      <w:pPr>
        <w:pStyle w:val="BodyText"/>
        <w:spacing w:line="240" w:lineRule="auto" w:before="145"/>
        <w:ind w:right="35"/>
        <w:jc w:val="left"/>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②描述教育实习工作规范制定及落实情况，包括课程标准、实施计划、实习手册，</w:t>
      </w:r>
    </w:p>
    <w:p>
      <w:pPr>
        <w:spacing w:after="0" w:line="240" w:lineRule="auto"/>
        <w:jc w:val="left"/>
        <w:sectPr>
          <w:footerReference w:type="default" r:id="rId68"/>
          <w:pgSz w:w="12240" w:h="15840"/>
          <w:pgMar w:footer="700" w:header="773" w:top="960" w:bottom="880" w:left="1680" w:right="1560"/>
          <w:pgNumType w:start="1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t>评价标准等。</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4.4 [导师队伍]</w:t>
      </w:r>
      <w:r>
        <w:rPr>
          <w:rFonts w:ascii="微软雅黑" w:hAnsi="微软雅黑" w:cs="微软雅黑" w:eastAsia="微软雅黑"/>
          <w:spacing w:val="46"/>
        </w:rPr>
        <w:t> </w:t>
      </w:r>
      <w:r>
        <w:rPr>
          <w:rFonts w:ascii="微软雅黑" w:hAnsi="微软雅黑" w:cs="微软雅黑" w:eastAsia="微软雅黑"/>
          <w:spacing w:val="-3"/>
        </w:rPr>
        <w:t>实行高校教师与优秀小学教师共同指导教育实践的“双导师”制度。</w:t>
      </w:r>
      <w:r>
        <w:rPr>
          <w:rFonts w:ascii="微软雅黑" w:hAnsi="微软雅黑" w:cs="微软雅黑" w:eastAsia="微软雅黑"/>
        </w:rPr>
        <w:t> </w:t>
      </w:r>
      <w:r>
        <w:rPr>
          <w:rFonts w:ascii="微软雅黑" w:hAnsi="微软雅黑" w:cs="微软雅黑" w:eastAsia="微软雅黑"/>
          <w:spacing w:val="-7"/>
        </w:rPr>
        <w:t>有遴选、培训、评价和支持教育实践指导教师的制度与措施。“双导师”数量足，水</w:t>
      </w:r>
      <w:r>
        <w:rPr>
          <w:rFonts w:ascii="微软雅黑" w:hAnsi="微软雅黑" w:cs="微软雅黑" w:eastAsia="微软雅黑"/>
          <w:spacing w:val="-52"/>
        </w:rPr>
        <w:t> </w:t>
      </w:r>
      <w:r>
        <w:rPr>
          <w:rFonts w:ascii="微软雅黑" w:hAnsi="微软雅黑" w:cs="微软雅黑" w:eastAsia="微软雅黑"/>
          <w:spacing w:val="-52"/>
        </w:rPr>
      </w:r>
      <w:r>
        <w:rPr>
          <w:rFonts w:ascii="微软雅黑" w:hAnsi="微软雅黑" w:cs="微软雅黑" w:eastAsia="微软雅黑"/>
        </w:rPr>
        <w:t>平高，稳定性强，责权明确，协同育人，有效履职。</w:t>
      </w:r>
    </w:p>
    <w:p>
      <w:pPr>
        <w:spacing w:line="240" w:lineRule="auto" w:before="8"/>
        <w:rPr>
          <w:rFonts w:ascii="微软雅黑" w:hAnsi="微软雅黑" w:cs="微软雅黑" w:eastAsia="微软雅黑"/>
          <w:sz w:val="26"/>
          <w:szCs w:val="26"/>
        </w:rPr>
      </w:pPr>
    </w:p>
    <w:p>
      <w:pPr>
        <w:pStyle w:val="BodyText"/>
        <w:spacing w:line="424" w:lineRule="auto"/>
        <w:ind w:right="239"/>
        <w:jc w:val="both"/>
      </w:pPr>
      <w:r>
        <w:rPr/>
        <w:t>①描述说明学校实行高校教师与优秀小学教师共同指导教育实践的“双导师”制度 与具体措施，包括导师遴选、人员配置、实践指导、能力提升、条件保障、考核评 价与动态调整等方面。</w:t>
      </w:r>
    </w:p>
    <w:p>
      <w:pPr>
        <w:pStyle w:val="BodyText"/>
        <w:spacing w:line="240" w:lineRule="auto" w:before="65"/>
        <w:ind w:right="35"/>
        <w:jc w:val="left"/>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④描述说明学校支持教育实践指导教师的专门制度与措施。</w:t>
      </w:r>
    </w:p>
    <w:p>
      <w:pPr>
        <w:spacing w:line="240" w:lineRule="auto" w:before="7"/>
        <w:rPr>
          <w:rFonts w:ascii="华文楷体" w:hAnsi="华文楷体" w:cs="华文楷体" w:eastAsia="华文楷体"/>
          <w:sz w:val="31"/>
          <w:szCs w:val="31"/>
        </w:rPr>
      </w:pPr>
    </w:p>
    <w:p>
      <w:pPr>
        <w:pStyle w:val="BodyText"/>
        <w:spacing w:line="410" w:lineRule="exact"/>
        <w:ind w:right="35"/>
        <w:jc w:val="left"/>
        <w:rPr>
          <w:rFonts w:ascii="微软雅黑" w:hAnsi="微软雅黑" w:cs="微软雅黑" w:eastAsia="微软雅黑"/>
        </w:rPr>
      </w:pPr>
      <w:r>
        <w:rPr>
          <w:rFonts w:ascii="微软雅黑" w:hAnsi="微软雅黑" w:cs="微软雅黑" w:eastAsia="微软雅黑"/>
        </w:rPr>
        <w:t>4.5</w:t>
      </w:r>
      <w:r>
        <w:rPr>
          <w:rFonts w:ascii="微软雅黑" w:hAnsi="微软雅黑" w:cs="微软雅黑" w:eastAsia="微软雅黑"/>
          <w:spacing w:val="4"/>
        </w:rPr>
        <w:t> </w:t>
      </w:r>
      <w:r>
        <w:rPr>
          <w:rFonts w:ascii="微软雅黑" w:hAnsi="微软雅黑" w:cs="微软雅黑" w:eastAsia="微软雅黑"/>
        </w:rPr>
        <w:t>[管理评价]</w:t>
      </w:r>
      <w:r>
        <w:rPr>
          <w:rFonts w:ascii="微软雅黑" w:hAnsi="微软雅黑" w:cs="微软雅黑" w:eastAsia="微软雅黑"/>
          <w:spacing w:val="59"/>
        </w:rPr>
        <w:t> </w:t>
      </w:r>
      <w:r>
        <w:rPr>
          <w:rFonts w:ascii="微软雅黑" w:hAnsi="微软雅黑" w:cs="微软雅黑" w:eastAsia="微软雅黑"/>
        </w:rPr>
        <w:t>教育实践管理规范，能够对全过程实施质量监控。严格实行教育实</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践评价与改进制度。具有教育实践标准，采取过程评价与成果考核评价相结合方式，</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对实践能力和教育教学反思能力进行科学有效评价。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①描述学校实践教学管理制度和措施，说明对教育见习、实验（实训）、教育实习、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③描述说明小学教育专业师范生教育实践标准，对实践能力和教育教学反思能力的 考核评价方式及效果分析。</w:t>
      </w:r>
    </w:p>
    <w:p>
      <w:pPr>
        <w:spacing w:after="0" w:line="424"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160"/>
      <w:bookmarkEnd w:id="160"/>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7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161"/>
      <w:bookmarkEnd w:id="161"/>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7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0"/>
        <w:jc w:val="both"/>
        <w:rPr>
          <w:b w:val="0"/>
          <w:bCs w:val="0"/>
        </w:rPr>
      </w:pPr>
      <w:bookmarkStart w:name="标准5师资队伍" w:id="162"/>
      <w:bookmarkEnd w:id="162"/>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63"/>
      <w:bookmarkEnd w:id="16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20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01"/>
        <w:jc w:val="both"/>
        <w:rPr>
          <w:rFonts w:ascii="微软雅黑" w:hAnsi="微软雅黑" w:cs="微软雅黑" w:eastAsia="微软雅黑"/>
        </w:rPr>
      </w:pPr>
      <w:r>
        <w:rPr>
          <w:rFonts w:ascii="微软雅黑" w:hAnsi="微软雅黑" w:cs="微软雅黑" w:eastAsia="微软雅黑"/>
        </w:rPr>
        <w:t>5.1</w:t>
      </w:r>
      <w:r>
        <w:rPr>
          <w:rFonts w:ascii="微软雅黑" w:hAnsi="微软雅黑" w:cs="微软雅黑" w:eastAsia="微软雅黑"/>
          <w:spacing w:val="5"/>
        </w:rPr>
        <w:t> </w:t>
      </w:r>
      <w:r>
        <w:rPr>
          <w:rFonts w:ascii="微软雅黑" w:hAnsi="微软雅黑" w:cs="微软雅黑" w:eastAsia="微软雅黑"/>
        </w:rPr>
        <w:t>[数量结构]</w:t>
      </w:r>
      <w:r>
        <w:rPr>
          <w:rFonts w:ascii="微软雅黑" w:hAnsi="微软雅黑" w:cs="微软雅黑" w:eastAsia="微软雅黑"/>
          <w:spacing w:val="60"/>
        </w:rPr>
        <w:t> </w:t>
      </w:r>
      <w:r>
        <w:rPr>
          <w:rFonts w:ascii="微软雅黑" w:hAnsi="微软雅黑" w:cs="微软雅黑" w:eastAsia="微软雅黑"/>
        </w:rPr>
        <w:t>专任教师数量结构能够适应本专业教学和发展的需要，生师比不高</w:t>
      </w:r>
      <w:r>
        <w:rPr>
          <w:rFonts w:ascii="微软雅黑" w:hAnsi="微软雅黑" w:cs="微软雅黑" w:eastAsia="微软雅黑"/>
          <w:spacing w:val="-64"/>
        </w:rPr>
        <w:t> </w:t>
      </w:r>
      <w:r>
        <w:rPr>
          <w:rFonts w:ascii="微软雅黑" w:hAnsi="微软雅黑" w:cs="微软雅黑" w:eastAsia="微软雅黑"/>
          <w:spacing w:val="-64"/>
        </w:rPr>
      </w:r>
      <w:r>
        <w:rPr>
          <w:rFonts w:ascii="微软雅黑" w:hAnsi="微软雅黑" w:cs="微软雅黑" w:eastAsia="微软雅黑"/>
        </w:rPr>
        <w:t>于</w:t>
      </w:r>
      <w:r>
        <w:rPr>
          <w:rFonts w:ascii="微软雅黑" w:hAnsi="微软雅黑" w:cs="微软雅黑" w:eastAsia="微软雅黑"/>
          <w:spacing w:val="-8"/>
        </w:rPr>
        <w:t> </w:t>
      </w:r>
      <w:r>
        <w:rPr>
          <w:rFonts w:ascii="微软雅黑" w:hAnsi="微软雅黑" w:cs="微软雅黑" w:eastAsia="微软雅黑"/>
        </w:rPr>
        <w:t>16:1，硕士、博士学位教师占比本科一般不低于</w:t>
      </w:r>
      <w:r>
        <w:rPr>
          <w:rFonts w:ascii="微软雅黑" w:hAnsi="微软雅黑" w:cs="微软雅黑" w:eastAsia="微软雅黑"/>
          <w:spacing w:val="-7"/>
        </w:rPr>
        <w:t> </w:t>
      </w:r>
      <w:r>
        <w:rPr>
          <w:rFonts w:ascii="微软雅黑" w:hAnsi="微软雅黑" w:cs="微软雅黑" w:eastAsia="微软雅黑"/>
        </w:rPr>
        <w:t>80%、专科一般不低于</w:t>
      </w:r>
      <w:r>
        <w:rPr>
          <w:rFonts w:ascii="微软雅黑" w:hAnsi="微软雅黑" w:cs="微软雅黑" w:eastAsia="微软雅黑"/>
          <w:spacing w:val="-5"/>
        </w:rPr>
        <w:t> </w:t>
      </w:r>
      <w:r>
        <w:rPr>
          <w:rFonts w:ascii="微软雅黑" w:hAnsi="微软雅黑" w:cs="微软雅黑" w:eastAsia="微软雅黑"/>
        </w:rPr>
        <w:t>40%，</w:t>
      </w:r>
      <w:r>
        <w:rPr>
          <w:rFonts w:ascii="微软雅黑" w:hAnsi="微软雅黑" w:cs="微软雅黑" w:eastAsia="微软雅黑"/>
          <w:spacing w:val="-65"/>
        </w:rPr>
        <w:t> </w:t>
      </w:r>
      <w:r>
        <w:rPr>
          <w:rFonts w:ascii="微软雅黑" w:hAnsi="微软雅黑" w:cs="微软雅黑" w:eastAsia="微软雅黑"/>
          <w:spacing w:val="-65"/>
        </w:rPr>
      </w:r>
      <w:r>
        <w:rPr>
          <w:rFonts w:ascii="微软雅黑" w:hAnsi="微软雅黑" w:cs="微软雅黑" w:eastAsia="微软雅黑"/>
        </w:rPr>
        <w:t>高级职称教师比例高于学校平均水平，且为师范生上课、担任师范生导师。配足建 强教师教育课程教师，学科专业课程教师能够满足专业教学需要。本科具有半年以 上、专科具有三个月以上境外研修经历教师占教师教育课程教师比例不低于</w:t>
      </w:r>
      <w:r>
        <w:rPr>
          <w:rFonts w:ascii="微软雅黑" w:hAnsi="微软雅黑" w:cs="微软雅黑" w:eastAsia="微软雅黑"/>
          <w:spacing w:val="-13"/>
        </w:rPr>
        <w:t> </w:t>
      </w:r>
      <w:r>
        <w:rPr>
          <w:rFonts w:ascii="微软雅黑" w:hAnsi="微软雅黑" w:cs="微软雅黑" w:eastAsia="微软雅黑"/>
        </w:rPr>
        <w:t>20%，</w:t>
      </w:r>
      <w:r>
        <w:rPr>
          <w:rFonts w:ascii="微软雅黑" w:hAnsi="微软雅黑" w:cs="微软雅黑" w:eastAsia="微软雅黑"/>
        </w:rPr>
        <w:t> 基础教育一线的兼职教师队伍稳定，占教师教育课程教师比例不低于</w:t>
      </w:r>
      <w:r>
        <w:rPr>
          <w:rFonts w:ascii="微软雅黑" w:hAnsi="微软雅黑" w:cs="微软雅黑" w:eastAsia="微软雅黑"/>
          <w:spacing w:val="-27"/>
        </w:rPr>
        <w:t> </w:t>
      </w:r>
      <w:r>
        <w:rPr>
          <w:rFonts w:ascii="微软雅黑" w:hAnsi="微软雅黑" w:cs="微软雅黑" w:eastAsia="微软雅黑"/>
          <w:spacing w:val="-6"/>
        </w:rPr>
        <w:t>20%，原则上</w:t>
      </w:r>
      <w:r>
        <w:rPr>
          <w:rFonts w:ascii="微软雅黑" w:hAnsi="微软雅黑" w:cs="微软雅黑" w:eastAsia="微软雅黑"/>
        </w:rPr>
        <w:t> 为省市级学科带头人、特级教师、高级教师，能深度参与师范生培养工作。</w:t>
      </w:r>
    </w:p>
    <w:p>
      <w:pPr>
        <w:pStyle w:val="BodyText"/>
        <w:spacing w:line="424" w:lineRule="auto" w:before="145"/>
        <w:ind w:right="17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spacing w:after="0" w:line="424" w:lineRule="auto"/>
        <w:jc w:val="both"/>
        <w:sectPr>
          <w:pgSz w:w="12240" w:h="15840"/>
          <w:pgMar w:header="773" w:footer="700" w:top="960" w:bottom="880" w:left="1680" w:right="162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239"/>
        <w:jc w:val="both"/>
      </w:pPr>
      <w:r>
        <w:rPr/>
        <w:t>②描述说明专业专任教师教学能力、学术水平满足师范生培养和专业教学需要的情 况。</w:t>
      </w:r>
    </w:p>
    <w:p>
      <w:pPr>
        <w:pStyle w:val="BodyText"/>
        <w:spacing w:line="424" w:lineRule="auto" w:before="65"/>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424" w:lineRule="auto" w:before="65"/>
        <w:ind w:right="239"/>
        <w:jc w:val="both"/>
      </w:pPr>
      <w:r>
        <w:rPr/>
        <w:t>④描述说明近三年专业专任教师队伍建设和发展满足学生发展需要的情况，配足建 强教师教育课程教师情况，具体说明具有半年以上、专科具有三个月以上境外研修 经历教师占教师教育课程教师比例情况。</w:t>
      </w:r>
    </w:p>
    <w:p>
      <w:pPr>
        <w:pStyle w:val="BodyText"/>
        <w:spacing w:line="240" w:lineRule="auto" w:before="65"/>
        <w:ind w:right="0"/>
        <w:jc w:val="both"/>
      </w:pPr>
      <w:r>
        <w:rPr/>
        <w:t>⑤描述说明近三年专业兼职教师队伍建设和发展满足学生发展需要的情况。</w:t>
      </w:r>
    </w:p>
    <w:p>
      <w:pPr>
        <w:pStyle w:val="BodyText"/>
        <w:spacing w:line="237" w:lineRule="auto" w:before="129"/>
        <w:ind w:right="239"/>
        <w:jc w:val="both"/>
        <w:rPr>
          <w:rFonts w:ascii="微软雅黑" w:hAnsi="微软雅黑" w:cs="微软雅黑" w:eastAsia="微软雅黑"/>
        </w:rPr>
      </w:pPr>
      <w:r>
        <w:rPr>
          <w:rFonts w:ascii="微软雅黑" w:hAnsi="微软雅黑" w:cs="微软雅黑" w:eastAsia="微软雅黑"/>
        </w:rPr>
        <w:t>5.2[素质能力] </w:t>
      </w:r>
      <w:r>
        <w:rPr>
          <w:rFonts w:ascii="微软雅黑" w:hAnsi="微软雅黑" w:cs="微软雅黑" w:eastAsia="微软雅黑"/>
          <w:spacing w:val="2"/>
        </w:rPr>
        <w:t>遵守高校教师职业道德规范，为人师表，言传身教；以生为本、以</w:t>
      </w:r>
      <w:r>
        <w:rPr>
          <w:rFonts w:ascii="微软雅黑" w:hAnsi="微软雅黑" w:cs="微软雅黑" w:eastAsia="微软雅黑"/>
          <w:spacing w:val="-70"/>
        </w:rPr>
        <w:t> </w:t>
      </w:r>
      <w:r>
        <w:rPr>
          <w:rFonts w:ascii="微软雅黑" w:hAnsi="微软雅黑" w:cs="微软雅黑" w:eastAsia="微软雅黑"/>
          <w:spacing w:val="-70"/>
        </w:rPr>
      </w:r>
      <w:r>
        <w:rPr>
          <w:rFonts w:ascii="微软雅黑" w:hAnsi="微软雅黑" w:cs="微软雅黑" w:eastAsia="微软雅黑"/>
        </w:rPr>
        <w:t>学定教，具有突出的课堂教学、课程开发、信息技术应用和学习指导等教育教学能 力；治学严谨，跟踪学科前沿，研究能力和创新能力较强。具有职前养成和职后发 展一体化指导能力，能够有效指导师范生发展与职业规划。师范生对本专业专任教 师、兼职教师师德和教学具有较高的满意度。</w:t>
      </w:r>
    </w:p>
    <w:p>
      <w:pPr>
        <w:pStyle w:val="BodyText"/>
        <w:spacing w:line="424" w:lineRule="auto" w:before="143"/>
        <w:ind w:right="239"/>
        <w:jc w:val="both"/>
      </w:pPr>
      <w:r>
        <w:rPr/>
        <w:t>①描述说明学校加强专业专任教师队伍师德师风和素质能力建设的制度和措施，及 这些制度和措施发挥的作用。</w:t>
      </w:r>
    </w:p>
    <w:p>
      <w:pPr>
        <w:pStyle w:val="BodyText"/>
        <w:spacing w:line="424" w:lineRule="auto" w:before="65"/>
        <w:ind w:right="239"/>
        <w:jc w:val="both"/>
      </w:pPr>
      <w:r>
        <w:rPr/>
        <w:t>②描述说明常态化学生评教制度与标准，包括专任教师、兼职教师评价，说明学生 满意度。</w:t>
      </w:r>
    </w:p>
    <w:p>
      <w:pPr>
        <w:pStyle w:val="BodyText"/>
        <w:spacing w:line="424" w:lineRule="auto" w:before="65"/>
        <w:ind w:right="239"/>
        <w:jc w:val="both"/>
      </w:pPr>
      <w:r>
        <w:rPr/>
        <w:t>③描述说明专业专任教师的基础教育教学改革研究成果以及应用科研成果有效促进 教育教学改革情况。</w:t>
      </w:r>
    </w:p>
    <w:p>
      <w:pPr>
        <w:pStyle w:val="BodyText"/>
        <w:spacing w:line="240" w:lineRule="auto" w:before="65"/>
        <w:ind w:right="0"/>
        <w:jc w:val="both"/>
      </w:pPr>
      <w:r>
        <w:rPr/>
        <w:t>④描述专业专任教师为学生提供职前养成和职后发展一体化指导的情况。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5.3 [实践经历]</w:t>
      </w:r>
      <w:r>
        <w:rPr>
          <w:rFonts w:ascii="微软雅黑" w:hAnsi="微软雅黑" w:cs="微软雅黑" w:eastAsia="微软雅黑"/>
          <w:spacing w:val="32"/>
        </w:rPr>
        <w:t> </w:t>
      </w:r>
      <w:r>
        <w:rPr>
          <w:rFonts w:ascii="微软雅黑" w:hAnsi="微软雅黑" w:cs="微软雅黑" w:eastAsia="微软雅黑"/>
          <w:spacing w:val="2"/>
        </w:rPr>
        <w:t>教师教育课程教师熟悉小学教师专业标准、教师教育课程标准和</w:t>
      </w:r>
      <w:r>
        <w:rPr>
          <w:rFonts w:ascii="微软雅黑" w:hAnsi="微软雅黑" w:cs="微软雅黑" w:eastAsia="微软雅黑"/>
        </w:rPr>
        <w:t> 小学教育教学工作，每五年至少有一年小学教育服务经历，能够指导小学教育教学 工作，并有丰富的基础教育研究成果。</w:t>
      </w:r>
    </w:p>
    <w:p>
      <w:pPr>
        <w:spacing w:after="0" w:line="237"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424" w:lineRule="auto"/>
        <w:ind w:right="35"/>
        <w:jc w:val="left"/>
      </w:pPr>
      <w:r>
        <w:rPr/>
        <w:t>①描述说明学校和院系两级在鼓励教师教育课程教师深入小学一线实践方面采取的 制度和措施。</w:t>
      </w:r>
    </w:p>
    <w:p>
      <w:pPr>
        <w:pStyle w:val="BodyText"/>
        <w:spacing w:line="424" w:lineRule="auto" w:before="65"/>
        <w:ind w:right="35"/>
        <w:jc w:val="left"/>
      </w:pPr>
      <w:r>
        <w:rPr/>
        <w:t>②描述分析这些制度和措施在激励和保障专业教师通过实践形成丰富的教学研究成 果中发挥的作用。</w:t>
      </w:r>
    </w:p>
    <w:p>
      <w:pPr>
        <w:pStyle w:val="BodyText"/>
        <w:spacing w:line="240" w:lineRule="auto" w:before="65"/>
        <w:ind w:right="0"/>
        <w:jc w:val="both"/>
      </w:pPr>
      <w:r>
        <w:rPr/>
        <w:t>③以列表的方式呈现专业教师近五年基于实践的教学研究成果。</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5.4 [持续发展]</w:t>
      </w:r>
      <w:r>
        <w:rPr>
          <w:rFonts w:ascii="微软雅黑" w:hAnsi="微软雅黑" w:cs="微软雅黑" w:eastAsia="微软雅黑"/>
          <w:spacing w:val="32"/>
        </w:rPr>
        <w:t> </w:t>
      </w:r>
      <w:r>
        <w:rPr>
          <w:rFonts w:ascii="微软雅黑" w:hAnsi="微软雅黑" w:cs="微软雅黑" w:eastAsia="微软雅黑"/>
          <w:spacing w:val="2"/>
        </w:rPr>
        <w:t>制定并实施教师队伍建设规划。教师培训和实践研修机制完善；</w:t>
      </w:r>
      <w:r>
        <w:rPr>
          <w:rFonts w:ascii="微软雅黑" w:hAnsi="微软雅黑" w:cs="微软雅黑" w:eastAsia="微软雅黑"/>
        </w:rPr>
        <w:t> 建立专业教研组织，定期开展教研活动。建立教师分类评价制度，评价结果与绩效 </w:t>
      </w:r>
      <w:r>
        <w:rPr>
          <w:rFonts w:ascii="微软雅黑" w:hAnsi="微软雅黑" w:cs="微软雅黑" w:eastAsia="微软雅黑"/>
          <w:spacing w:val="-7"/>
        </w:rPr>
        <w:t>分配、职称评聘挂钩。高校和小学“协同教研”“双向互聘”“岗位互换”等共同发</w:t>
      </w:r>
      <w:r>
        <w:rPr>
          <w:rFonts w:ascii="微软雅黑" w:hAnsi="微软雅黑" w:cs="微软雅黑" w:eastAsia="微软雅黑"/>
          <w:spacing w:val="-53"/>
        </w:rPr>
        <w:t> </w:t>
      </w:r>
      <w:r>
        <w:rPr>
          <w:rFonts w:ascii="微软雅黑" w:hAnsi="微软雅黑" w:cs="微软雅黑" w:eastAsia="微软雅黑"/>
          <w:spacing w:val="-53"/>
        </w:rPr>
      </w:r>
      <w:r>
        <w:rPr>
          <w:rFonts w:ascii="微软雅黑" w:hAnsi="微软雅黑" w:cs="微软雅黑" w:eastAsia="微软雅黑"/>
        </w:rPr>
        <w:t>展机制健全、成效显著。</w:t>
      </w:r>
    </w:p>
    <w:p>
      <w:pPr>
        <w:pStyle w:val="BodyText"/>
        <w:spacing w:line="240" w:lineRule="auto" w:before="143"/>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③列表说明近三年专业教师特别是青年教师进行国内外进修访学、小学一线实践锻 </w:t>
      </w:r>
      <w:r>
        <w:rPr>
          <w:spacing w:val="-7"/>
        </w:rPr>
        <w:t>炼、教学技能与方法培训情况，并对培养培训提升教师教学水平效果进行分析（《专</w:t>
      </w:r>
      <w:r>
        <w:rPr>
          <w:spacing w:val="-42"/>
        </w:rPr>
        <w:t> </w:t>
      </w:r>
      <w:r>
        <w:rPr>
          <w:spacing w:val="-42"/>
        </w:rPr>
      </w:r>
      <w:r>
        <w:rPr>
          <w:spacing w:val="-6"/>
        </w:rPr>
        <w:t>业教学状态数据分析报告》有相关数据信息）。</w:t>
      </w:r>
    </w:p>
    <w:p>
      <w:pPr>
        <w:pStyle w:val="BodyText"/>
        <w:spacing w:line="424" w:lineRule="auto" w:before="65"/>
        <w:ind w:right="35"/>
        <w:jc w:val="left"/>
      </w:pPr>
      <w:r>
        <w:rPr/>
        <w:t>④描述说明专业教研组织建设情况（包括组织形式与规模，承担的具体责任，隶属 </w:t>
      </w:r>
      <w:r>
        <w:rPr>
          <w:spacing w:val="-10"/>
        </w:rPr>
        <w:t>关系，以及责任人），及组织开展的专业建设、课程建设、教材建设、教学技能提高、</w:t>
      </w:r>
      <w:r>
        <w:rPr>
          <w:spacing w:val="-40"/>
        </w:rPr>
        <w:t> </w:t>
      </w:r>
      <w:r>
        <w:rPr>
          <w:spacing w:val="-40"/>
        </w:rPr>
      </w: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spacing w:val="-4"/>
        </w:rPr>
        <w:t>⑤以列表方式呈现近三年开展教师自我评价（主要指通过课程评价进行教学改进）、</w:t>
      </w:r>
      <w:r>
        <w:rPr>
          <w:spacing w:val="-32"/>
        </w:rPr>
        <w:t> </w:t>
      </w:r>
      <w:r>
        <w:rPr>
          <w:spacing w:val="-32"/>
        </w:rPr>
      </w:r>
      <w:r>
        <w:rPr/>
        <w:t>学生评价、同行评价、督导评价活动情况及结果。</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t>⑥描述说明综合评价结果与校内绩效分配、职称晋升的挂钩情况，及对教师教学质</w:t>
      </w:r>
    </w:p>
    <w:p>
      <w:pPr>
        <w:spacing w:after="0" w:line="240" w:lineRule="auto"/>
        <w:jc w:val="both"/>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量提升的作用。</w:t>
      </w:r>
    </w:p>
    <w:p>
      <w:pPr>
        <w:spacing w:line="240" w:lineRule="auto" w:before="3"/>
        <w:rPr>
          <w:rFonts w:ascii="华文楷体" w:hAnsi="华文楷体" w:cs="华文楷体" w:eastAsia="华文楷体"/>
          <w:sz w:val="29"/>
          <w:szCs w:val="29"/>
        </w:rPr>
      </w:pPr>
    </w:p>
    <w:p>
      <w:pPr>
        <w:pStyle w:val="BodyText"/>
        <w:spacing w:line="424" w:lineRule="auto"/>
        <w:ind w:right="359"/>
        <w:jc w:val="both"/>
      </w:pPr>
      <w:r>
        <w:rPr/>
        <w:t>⑦描述说明学校探索建设高校和小学“协同教研”“双向互聘”“岗位互换”等共 同发展机制的情况，学校教师分类评价制度建设及运行情况，教师教育实践类课程 教师的评价标准。</w:t>
      </w:r>
    </w:p>
    <w:p>
      <w:pPr>
        <w:spacing w:line="240" w:lineRule="auto" w:before="0"/>
        <w:rPr>
          <w:rFonts w:ascii="华文楷体" w:hAnsi="华文楷体" w:cs="华文楷体" w:eastAsia="华文楷体"/>
          <w:sz w:val="24"/>
          <w:szCs w:val="24"/>
        </w:rPr>
      </w:pPr>
    </w:p>
    <w:p>
      <w:pPr>
        <w:spacing w:line="240" w:lineRule="auto" w:before="0"/>
        <w:rPr>
          <w:rFonts w:ascii="华文楷体" w:hAnsi="华文楷体" w:cs="华文楷体" w:eastAsia="华文楷体"/>
          <w:sz w:val="24"/>
          <w:szCs w:val="24"/>
        </w:rPr>
      </w:pPr>
    </w:p>
    <w:p>
      <w:pPr>
        <w:spacing w:line="240" w:lineRule="auto" w:before="8"/>
        <w:rPr>
          <w:rFonts w:ascii="华文楷体" w:hAnsi="华文楷体" w:cs="华文楷体" w:eastAsia="华文楷体"/>
          <w:sz w:val="17"/>
          <w:szCs w:val="17"/>
        </w:rPr>
      </w:pPr>
    </w:p>
    <w:p>
      <w:pPr>
        <w:pStyle w:val="Heading5"/>
        <w:spacing w:line="240" w:lineRule="auto"/>
        <w:ind w:right="0"/>
        <w:jc w:val="both"/>
        <w:rPr>
          <w:b w:val="0"/>
          <w:bCs w:val="0"/>
        </w:rPr>
      </w:pPr>
      <w:bookmarkStart w:name="第二部分：主要问题" w:id="164"/>
      <w:bookmarkEnd w:id="164"/>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165"/>
      <w:bookmarkEnd w:id="165"/>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6支持条件" w:id="166"/>
      <w:bookmarkEnd w:id="166"/>
      <w:r>
        <w:rPr>
          <w:b w:val="0"/>
          <w:bCs w:val="0"/>
        </w:rPr>
      </w:r>
      <w:r>
        <w:rPr/>
        <w:t>标准 6</w:t>
      </w:r>
      <w:r>
        <w:rPr>
          <w:spacing w:val="-32"/>
        </w:rPr>
        <w:t> </w:t>
      </w:r>
      <w:r>
        <w:rPr/>
        <w:t>支持条件</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67"/>
      <w:bookmarkEnd w:id="167"/>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8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0"/>
        <w:jc w:val="left"/>
        <w:rPr>
          <w:rFonts w:ascii="微软雅黑" w:hAnsi="微软雅黑" w:cs="微软雅黑" w:eastAsia="微软雅黑"/>
        </w:rPr>
      </w:pPr>
      <w:r>
        <w:rPr>
          <w:rFonts w:ascii="微软雅黑" w:hAnsi="微软雅黑" w:cs="微软雅黑" w:eastAsia="微软雅黑"/>
        </w:rPr>
        <w:t>6.1</w:t>
      </w:r>
      <w:r>
        <w:rPr>
          <w:rFonts w:ascii="微软雅黑" w:hAnsi="微软雅黑" w:cs="微软雅黑" w:eastAsia="微软雅黑"/>
          <w:spacing w:val="2"/>
        </w:rPr>
        <w:t> </w:t>
      </w:r>
      <w:r>
        <w:rPr>
          <w:rFonts w:ascii="微软雅黑" w:hAnsi="微软雅黑" w:cs="微软雅黑" w:eastAsia="微软雅黑"/>
        </w:rPr>
        <w:t>[经费保障]</w:t>
      </w:r>
      <w:r>
        <w:rPr>
          <w:rFonts w:ascii="微软雅黑" w:hAnsi="微软雅黑" w:cs="微软雅黑" w:eastAsia="微软雅黑"/>
          <w:spacing w:val="56"/>
        </w:rPr>
        <w:t> </w:t>
      </w:r>
      <w:r>
        <w:rPr>
          <w:rFonts w:ascii="微软雅黑" w:hAnsi="微软雅黑" w:cs="微软雅黑" w:eastAsia="微软雅黑"/>
        </w:rPr>
        <w:t>专业建设经费满足师范生培养需求，教学日常运行支出占生均拨款</w:t>
      </w:r>
      <w:r>
        <w:rPr>
          <w:rFonts w:ascii="微软雅黑" w:hAnsi="微软雅黑" w:cs="微软雅黑" w:eastAsia="微软雅黑"/>
          <w:spacing w:val="-58"/>
        </w:rPr>
        <w:t> </w:t>
      </w:r>
      <w:r>
        <w:rPr>
          <w:rFonts w:ascii="微软雅黑" w:hAnsi="微软雅黑" w:cs="微软雅黑" w:eastAsia="微软雅黑"/>
          <w:spacing w:val="-58"/>
        </w:rPr>
      </w:r>
      <w:r>
        <w:rPr>
          <w:rFonts w:ascii="微软雅黑" w:hAnsi="微软雅黑" w:cs="微软雅黑" w:eastAsia="微软雅黑"/>
        </w:rPr>
        <w:t>总额与学费收入之和的比例不低于 </w:t>
      </w:r>
      <w:r>
        <w:rPr>
          <w:rFonts w:ascii="微软雅黑" w:hAnsi="微软雅黑" w:cs="微软雅黑" w:eastAsia="微软雅黑"/>
          <w:spacing w:val="-4"/>
        </w:rPr>
        <w:t>15%，生均教学日常运行支出高于学校平均水平，</w:t>
      </w:r>
      <w:r>
        <w:rPr>
          <w:rFonts w:ascii="微软雅黑" w:hAnsi="微软雅黑" w:cs="微软雅黑" w:eastAsia="微软雅黑"/>
        </w:rPr>
        <w:t> 生均教育实践经费支出高于学校平均水平。教学设施设备和图书资料等更新经费有 标准和预决算。</w:t>
      </w:r>
    </w:p>
    <w:p>
      <w:pPr>
        <w:spacing w:after="0" w:line="237" w:lineRule="auto"/>
        <w:jc w:val="left"/>
        <w:rPr>
          <w:rFonts w:ascii="微软雅黑" w:hAnsi="微软雅黑" w:cs="微软雅黑" w:eastAsia="微软雅黑"/>
        </w:rPr>
        <w:sectPr>
          <w:pgSz w:w="12240" w:h="15840"/>
          <w:pgMar w:header="773" w:footer="700" w:top="960" w:bottom="880" w:left="1680" w:right="144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344" w:lineRule="exact"/>
        <w:ind w:right="0"/>
        <w:jc w:val="left"/>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②描述说明学校在学生实验、实习和毕业论文（设计）上的生均经费投入情况及满 足专业教学需要情况。</w:t>
      </w:r>
    </w:p>
    <w:p>
      <w:pPr>
        <w:pStyle w:val="BodyText"/>
        <w:spacing w:line="240" w:lineRule="auto" w:before="65"/>
        <w:ind w:right="0"/>
        <w:jc w:val="left"/>
      </w:pPr>
      <w:r>
        <w:rPr/>
        <w:t>③列表说明近三年学校和院系用于专业教学的经费收支情况。</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4"/>
        <w:rPr>
          <w:rFonts w:ascii="华文楷体" w:hAnsi="华文楷体" w:cs="华文楷体" w:eastAsia="华文楷体"/>
          <w:sz w:val="21"/>
          <w:szCs w:val="21"/>
        </w:rPr>
      </w:pPr>
    </w:p>
    <w:p>
      <w:pPr>
        <w:pStyle w:val="BodyText"/>
        <w:spacing w:line="353" w:lineRule="exact"/>
        <w:ind w:right="0"/>
        <w:jc w:val="left"/>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教育教学设施完备。建有小学教育专业教师职业技能实训平台和在</w:t>
      </w:r>
    </w:p>
    <w:p>
      <w:pPr>
        <w:pStyle w:val="BodyText"/>
        <w:spacing w:line="237" w:lineRule="auto" w:before="1"/>
        <w:ind w:right="0"/>
        <w:jc w:val="left"/>
        <w:rPr>
          <w:rFonts w:ascii="微软雅黑" w:hAnsi="微软雅黑" w:cs="微软雅黑" w:eastAsia="微软雅黑"/>
        </w:rPr>
      </w:pPr>
      <w:r>
        <w:rPr>
          <w:rFonts w:ascii="微软雅黑" w:hAnsi="微软雅黑" w:cs="微软雅黑" w:eastAsia="微软雅黑"/>
          <w:spacing w:val="-7"/>
        </w:rPr>
        <w:t>线教学观摩指导平台，满足“三字一话”、微格教学、实验教学、艺术教育、远程见</w:t>
      </w:r>
      <w:r>
        <w:rPr>
          <w:rFonts w:ascii="微软雅黑" w:hAnsi="微软雅黑" w:cs="微软雅黑" w:eastAsia="微软雅黑"/>
          <w:spacing w:val="-57"/>
        </w:rPr>
        <w:t> </w:t>
      </w:r>
      <w:r>
        <w:rPr>
          <w:rFonts w:ascii="微软雅黑" w:hAnsi="微软雅黑" w:cs="微软雅黑" w:eastAsia="微软雅黑"/>
          <w:spacing w:val="-57"/>
        </w:rPr>
      </w:r>
      <w:r>
        <w:rPr>
          <w:rFonts w:ascii="微软雅黑" w:hAnsi="微软雅黑" w:cs="微软雅黑" w:eastAsia="微软雅黑"/>
          <w:spacing w:val="-4"/>
        </w:rPr>
        <w:t>习等实践教学需要。信息化教育设施能够支撑专业教学改革与师范生学习方式转变。</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教育教学设施管理、维护、更新和共享机制顺畅，师范生使用便捷、充分。</w:t>
      </w:r>
    </w:p>
    <w:p>
      <w:pPr>
        <w:pStyle w:val="BodyText"/>
        <w:spacing w:line="424" w:lineRule="auto" w:before="145"/>
        <w:ind w:right="359"/>
        <w:jc w:val="both"/>
      </w:pPr>
      <w:r>
        <w:rPr/>
        <w:t>①列表说明学校和院系用于小学教育专业教学的主要教学实验室、小学教育专业教 </w:t>
      </w:r>
      <w:r>
        <w:rPr>
          <w:spacing w:val="-7"/>
        </w:rPr>
        <w:t>师职业技能实训平台和在线教学观摩指导平台，满足“三字一话”、微格教学、实验</w:t>
      </w:r>
      <w:r>
        <w:rPr>
          <w:spacing w:val="-43"/>
        </w:rPr>
        <w:t> </w:t>
      </w:r>
      <w:r>
        <w:rPr>
          <w:spacing w:val="-43"/>
        </w:rPr>
      </w:r>
      <w:r>
        <w:rPr>
          <w:spacing w:val="-7"/>
        </w:rPr>
        <w:t>教学、远程见习等实践教学需要情况。（《专业教学状态数据分析报告》有相关数据</w:t>
      </w:r>
      <w:r>
        <w:rPr>
          <w:spacing w:val="-41"/>
        </w:rPr>
        <w:t> </w:t>
      </w:r>
      <w:r>
        <w:rPr>
          <w:spacing w:val="-41"/>
        </w:rPr>
      </w:r>
      <w:r>
        <w:rPr/>
        <w:t>信息）</w:t>
      </w:r>
    </w:p>
    <w:p>
      <w:pPr>
        <w:pStyle w:val="BodyText"/>
        <w:spacing w:line="424" w:lineRule="auto" w:before="65"/>
        <w:ind w:right="0"/>
        <w:jc w:val="left"/>
      </w:pPr>
      <w:r>
        <w:rPr/>
        <w:t>②描述说明现代信息技术与专业教学工作进行融合用以支撑教学改革与师范生学习 方式转变情况。</w:t>
      </w:r>
    </w:p>
    <w:p>
      <w:pPr>
        <w:spacing w:after="0" w:line="424" w:lineRule="auto"/>
        <w:jc w:val="left"/>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59"/>
        <w:jc w:val="both"/>
      </w:pPr>
      <w:r>
        <w:rPr/>
        <w:t>③描述说明这些资源是否满足专业教师和学生教学需求，专业与资源管理部门的信 息沟通渠道，以及专业设施使用绩效评价考核机制。</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专业教学资源及数字化教学资源丰富，使用率高。教育类纸质图书</w:t>
      </w:r>
    </w:p>
    <w:p>
      <w:pPr>
        <w:pStyle w:val="BodyText"/>
        <w:spacing w:line="412" w:lineRule="exact" w:before="20"/>
        <w:ind w:right="117"/>
        <w:jc w:val="both"/>
        <w:rPr>
          <w:rFonts w:ascii="微软雅黑" w:hAnsi="微软雅黑" w:cs="微软雅黑" w:eastAsia="微软雅黑"/>
        </w:rPr>
      </w:pPr>
      <w:r>
        <w:rPr>
          <w:rFonts w:ascii="微软雅黑" w:hAnsi="微软雅黑" w:cs="微软雅黑" w:eastAsia="微软雅黑"/>
        </w:rPr>
        <w:t>充分满足师范生学习需要。建有小学教材资源库和优秀小学教育教学案例库，有国 内外多种版本小学教材，其中现行小学课程标准和教材每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424" w:lineRule="auto" w:before="125"/>
        <w:ind w:right="159"/>
        <w:jc w:val="both"/>
      </w:pPr>
      <w:r>
        <w:rPr/>
        <w:t>①描述说明小学教育专业相关多媒体教育设施和数字化教学资源建设和使用，以及 满足师范生学习需要情况。</w:t>
      </w:r>
    </w:p>
    <w:p>
      <w:pPr>
        <w:pStyle w:val="BodyText"/>
        <w:spacing w:line="424" w:lineRule="auto" w:before="65"/>
        <w:ind w:right="159"/>
        <w:jc w:val="both"/>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159"/>
        <w:jc w:val="both"/>
      </w:pPr>
      <w:r>
        <w:rPr/>
        <w:t>③描述说明用于教学设施和图书资料等更新的经费标准和预决算情况，特别是小学 教材资源库和优秀小学教育教学案例库，国内外多种版本小学教材建设情况、使用 与激励机制。</w:t>
      </w:r>
    </w:p>
    <w:p>
      <w:pPr>
        <w:pStyle w:val="Heading5"/>
        <w:spacing w:line="240" w:lineRule="auto" w:before="180"/>
        <w:ind w:right="0"/>
        <w:jc w:val="both"/>
        <w:rPr>
          <w:b w:val="0"/>
          <w:bCs w:val="0"/>
        </w:rPr>
      </w:pPr>
      <w:bookmarkStart w:name="第二部分：主要问题" w:id="168"/>
      <w:bookmarkEnd w:id="168"/>
      <w:r>
        <w:rPr>
          <w:b w:val="0"/>
          <w:bCs w:val="0"/>
        </w:rPr>
      </w:r>
      <w:r>
        <w:rPr/>
        <w:t>第二部分：主要问题</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89" w:firstLine="0"/>
        <w:jc w:val="both"/>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7"/>
        <w:rPr>
          <w:rFonts w:ascii="楷体" w:hAnsi="楷体" w:cs="楷体" w:eastAsia="楷体"/>
          <w:sz w:val="17"/>
          <w:szCs w:val="17"/>
        </w:rPr>
      </w:pPr>
    </w:p>
    <w:p>
      <w:pPr>
        <w:pStyle w:val="Heading5"/>
        <w:spacing w:line="240" w:lineRule="auto"/>
        <w:ind w:right="0"/>
        <w:jc w:val="both"/>
        <w:rPr>
          <w:b w:val="0"/>
          <w:bCs w:val="0"/>
        </w:rPr>
      </w:pPr>
      <w:bookmarkStart w:name="第三部分：改进措施" w:id="169"/>
      <w:bookmarkEnd w:id="169"/>
      <w:r>
        <w:rPr>
          <w:b w:val="0"/>
          <w:bCs w:val="0"/>
        </w:rPr>
      </w:r>
      <w:r>
        <w:rPr/>
        <w:t>第三部分：改进措施</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89" w:firstLine="0"/>
        <w:jc w:val="both"/>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after="0" w:line="273" w:lineRule="auto"/>
        <w:jc w:val="both"/>
        <w:rPr>
          <w:rFonts w:ascii="楷体" w:hAnsi="楷体" w:cs="楷体" w:eastAsia="楷体"/>
          <w:sz w:val="21"/>
          <w:szCs w:val="21"/>
        </w:rPr>
        <w:sectPr>
          <w:pgSz w:w="12240" w:h="15840"/>
          <w:pgMar w:header="773" w:footer="700" w:top="960" w:bottom="880" w:left="1680" w:right="164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0"/>
        <w:jc w:val="both"/>
        <w:rPr>
          <w:b w:val="0"/>
          <w:bCs w:val="0"/>
        </w:rPr>
      </w:pPr>
      <w:bookmarkStart w:name="标准7质量保障" w:id="170"/>
      <w:bookmarkEnd w:id="170"/>
      <w:r>
        <w:rPr>
          <w:b w:val="0"/>
          <w:bCs w:val="0"/>
        </w:rPr>
      </w:r>
      <w:r>
        <w:rPr/>
        <w:t>标准 7</w:t>
      </w:r>
      <w:r>
        <w:rPr>
          <w:spacing w:val="-32"/>
        </w:rPr>
        <w:t> </w:t>
      </w:r>
      <w:r>
        <w:rPr/>
        <w:t>质量保障</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71"/>
      <w:bookmarkEnd w:id="171"/>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15"/>
        <w:jc w:val="both"/>
        <w:rPr>
          <w:rFonts w:ascii="微软雅黑" w:hAnsi="微软雅黑" w:cs="微软雅黑" w:eastAsia="微软雅黑"/>
        </w:rPr>
      </w:pPr>
      <w:r>
        <w:rPr>
          <w:rFonts w:ascii="微软雅黑" w:hAnsi="微软雅黑" w:cs="微软雅黑" w:eastAsia="微软雅黑"/>
        </w:rPr>
        <w:t>7.1 [保障体系] 建立完善的教学质量保障体系，各主要教学环节有清晰明确、科学 合理的质量要求。质量保障目标清晰，任务明确，机构健全，责任到人，能够有效 支持毕业要求达成。</w:t>
      </w:r>
    </w:p>
    <w:p>
      <w:pPr>
        <w:pStyle w:val="BodyText"/>
        <w:spacing w:line="240" w:lineRule="auto" w:before="145"/>
        <w:ind w:right="0"/>
        <w:jc w:val="both"/>
      </w:pPr>
      <w:r>
        <w:rPr/>
        <w:t>①描述说明学校和院系两级教学质量保障体系架构与运行方式。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②描述说明学校和院系两级教学质量保障机构、目标、任务、职责分工、责任人及 对专业毕业要求所起的支持作用。</w:t>
      </w:r>
    </w:p>
    <w:p>
      <w:pPr>
        <w:pStyle w:val="BodyText"/>
        <w:spacing w:line="424" w:lineRule="auto" w:before="65"/>
        <w:ind w:right="119"/>
        <w:jc w:val="both"/>
      </w:pPr>
      <w:r>
        <w:rPr/>
        <w:pict>
          <v:shape style="position:absolute;margin-left:89.760002pt;margin-top:60.877487pt;width:411.85pt;height:95.6pt;mso-position-horizontal-relative:page;mso-position-vertical-relative:paragraph;z-index:1480"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6"/>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right="0"/>
                          <w:jc w:val="left"/>
                          <w:rPr>
                            <w:rFonts w:ascii="华文楷体" w:hAnsi="华文楷体" w:cs="华文楷体" w:eastAsia="华文楷体"/>
                            <w:sz w:val="22"/>
                            <w:szCs w:val="22"/>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1"/>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6"/>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410" w:lineRule="exact" w:before="115"/>
        <w:ind w:right="0"/>
        <w:jc w:val="left"/>
        <w:rPr>
          <w:rFonts w:ascii="微软雅黑" w:hAnsi="微软雅黑" w:cs="微软雅黑" w:eastAsia="微软雅黑"/>
        </w:rPr>
      </w:pPr>
      <w:r>
        <w:rPr>
          <w:rFonts w:ascii="微软雅黑" w:hAnsi="微软雅黑" w:cs="微软雅黑" w:eastAsia="微软雅黑"/>
        </w:rPr>
        <w:t>7.2 [内部监控] 建立教学质量监控与评价机制并有效执行，运用信息技术对各主要 教学环节质量实施全程监控与常态化评价，保障毕业要求达成。</w:t>
      </w:r>
    </w:p>
    <w:p>
      <w:pPr>
        <w:pStyle w:val="BodyText"/>
        <w:spacing w:line="424" w:lineRule="auto" w:before="125"/>
        <w:ind w:right="0"/>
        <w:jc w:val="left"/>
      </w:pPr>
      <w:r>
        <w:rPr/>
        <w:t>①描述说明学校和院系两级教学质量监控与评价机制的建立情况，列出教学管理和 质量保障规章制度。</w:t>
      </w:r>
    </w:p>
    <w:p>
      <w:pPr>
        <w:pStyle w:val="BodyText"/>
        <w:spacing w:line="424" w:lineRule="auto" w:before="65"/>
        <w:ind w:right="0"/>
        <w:jc w:val="left"/>
      </w:pPr>
      <w:r>
        <w:rPr/>
        <w:t>②描述说明学校和院系两级定期开展专业教学质量评价（重点监控专业开展的课程 评价和毕业要求达成评价）情况，包括评估评价周期、评估评价对象、评估评价内</w:t>
      </w:r>
    </w:p>
    <w:p>
      <w:pPr>
        <w:spacing w:after="0" w:line="424" w:lineRule="auto"/>
        <w:jc w:val="left"/>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spacing w:val="-4"/>
        </w:rPr>
        <w:t>容、评估评价渠道等，以及最近一次开展的专业教学质量评价的内容、方法和结果。</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③描述说明专业毕业要求达成的评价机制和方法，包括评价制度、评价周期、评价 </w:t>
      </w:r>
      <w:r>
        <w:rPr>
          <w:spacing w:val="-7"/>
        </w:rPr>
        <w:t>依据（主要来源于课程目标达成评价结果）、评价程序、评价方法和评价责任人。针</w:t>
      </w:r>
      <w:r>
        <w:rPr>
          <w:spacing w:val="-43"/>
        </w:rPr>
        <w:t> </w:t>
      </w:r>
      <w:r>
        <w:rPr>
          <w:spacing w:val="-43"/>
        </w:rPr>
      </w: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1967" w:right="2086"/>
        <w:jc w:val="center"/>
      </w:pPr>
      <w:r>
        <w:rPr/>
        <w:t>最近一次毕业要求达成度评价的依据表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650"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80" w:lineRule="auto" w:before="10"/>
              <w:ind w:left="352" w:right="143" w:hanging="212"/>
              <w:jc w:val="left"/>
              <w:rPr>
                <w:rFonts w:ascii="楷体" w:hAnsi="楷体" w:cs="楷体" w:eastAsia="楷体"/>
                <w:sz w:val="21"/>
                <w:szCs w:val="21"/>
              </w:rPr>
            </w:pPr>
            <w:r>
              <w:rPr>
                <w:rFonts w:ascii="楷体" w:hAnsi="楷体" w:cs="楷体" w:eastAsia="楷体"/>
                <w:sz w:val="21"/>
                <w:szCs w:val="21"/>
              </w:rPr>
              <w:t>专业毕业</w:t>
            </w:r>
            <w:r>
              <w:rPr>
                <w:rFonts w:ascii="楷体" w:hAnsi="楷体" w:cs="楷体" w:eastAsia="楷体"/>
                <w:w w:val="99"/>
                <w:sz w:val="21"/>
                <w:szCs w:val="21"/>
              </w:rPr>
              <w:t> </w:t>
            </w: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280" w:lineRule="auto" w:before="10"/>
              <w:ind w:left="296" w:right="296" w:firstLine="105"/>
              <w:jc w:val="left"/>
              <w:rPr>
                <w:rFonts w:ascii="楷体" w:hAnsi="楷体" w:cs="楷体" w:eastAsia="楷体"/>
                <w:sz w:val="21"/>
                <w:szCs w:val="21"/>
              </w:rPr>
            </w:pPr>
            <w:r>
              <w:rPr>
                <w:rFonts w:ascii="楷体" w:hAnsi="楷体" w:cs="楷体" w:eastAsia="楷体"/>
                <w:sz w:val="21"/>
                <w:szCs w:val="21"/>
              </w:rPr>
              <w:t>评价</w:t>
            </w:r>
            <w:r>
              <w:rPr>
                <w:rFonts w:ascii="楷体" w:hAnsi="楷体" w:cs="楷体" w:eastAsia="楷体"/>
                <w:w w:val="99"/>
                <w:sz w:val="21"/>
                <w:szCs w:val="21"/>
              </w:rPr>
              <w:t> </w:t>
            </w: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280" w:lineRule="auto" w:before="10"/>
              <w:ind w:left="323" w:right="323"/>
              <w:jc w:val="left"/>
              <w:rPr>
                <w:rFonts w:ascii="楷体" w:hAnsi="楷体" w:cs="楷体" w:eastAsia="楷体"/>
                <w:sz w:val="21"/>
                <w:szCs w:val="21"/>
              </w:rPr>
            </w:pPr>
            <w:r>
              <w:rPr>
                <w:rFonts w:ascii="楷体" w:hAnsi="楷体" w:cs="楷体" w:eastAsia="楷体"/>
                <w:sz w:val="21"/>
                <w:szCs w:val="21"/>
              </w:rPr>
              <w:t>课程考</w:t>
            </w:r>
            <w:r>
              <w:rPr>
                <w:rFonts w:ascii="楷体" w:hAnsi="楷体" w:cs="楷体" w:eastAsia="楷体"/>
                <w:w w:val="99"/>
                <w:sz w:val="21"/>
                <w:szCs w:val="21"/>
              </w:rPr>
              <w:t> </w:t>
            </w: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80" w:lineRule="auto" w:before="10"/>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71"/>
              <w:ind w:left="252" w:right="0"/>
              <w:jc w:val="left"/>
              <w:rPr>
                <w:rFonts w:ascii="楷体" w:hAnsi="楷体" w:cs="楷体" w:eastAsia="楷体"/>
                <w:sz w:val="21"/>
                <w:szCs w:val="21"/>
              </w:rPr>
            </w:pPr>
            <w:r>
              <w:rPr>
                <w:rFonts w:ascii="楷体" w:hAnsi="楷体" w:cs="楷体" w:eastAsia="楷体"/>
                <w:sz w:val="21"/>
                <w:szCs w:val="21"/>
              </w:rPr>
              <w:t>形成的记录文档</w:t>
            </w: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7"/>
          <w:szCs w:val="7"/>
        </w:rPr>
      </w:pPr>
    </w:p>
    <w:p>
      <w:pPr>
        <w:spacing w:line="344" w:lineRule="exact" w:before="0"/>
        <w:ind w:left="240" w:right="35"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④描述说明学校和院系两级运用信息技术全过程监控与评价专业教学过程用以保障 专业毕业要求达成的情况。</w:t>
      </w:r>
    </w:p>
    <w:p>
      <w:pPr>
        <w:pStyle w:val="BodyText"/>
        <w:spacing w:line="331" w:lineRule="exact"/>
        <w:ind w:right="35"/>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建立毕业生持续跟踪反馈机制以及基础教育机构、教育行政部门等</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利益相关方参与的多元社会评价机制，对培养目标的达成度进行定期评价。</w:t>
      </w:r>
    </w:p>
    <w:p>
      <w:pPr>
        <w:pStyle w:val="BodyText"/>
        <w:spacing w:line="240" w:lineRule="auto" w:before="144"/>
        <w:ind w:right="35"/>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spacing w:val="-4"/>
        </w:rPr>
        <w:t>②描述说明小学、教育行政部门等利益相关方参与的多元社会评价机制的建立情况。</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③描述说明培养目标达成评价的方法、周期以及最近一次毕业生、小学、教育行政 部门等利益相关方对培养目标达成进行评价的内容、方法和结果。</w:t>
      </w:r>
    </w:p>
    <w:p>
      <w:pPr>
        <w:pStyle w:val="BodyText"/>
        <w:spacing w:line="333" w:lineRule="exact"/>
        <w:ind w:right="35"/>
        <w:jc w:val="left"/>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推动师范生培养质量的持续改进和提高，形成追求卓越的质量文化。</w:t>
      </w:r>
    </w:p>
    <w:p>
      <w:pPr>
        <w:pStyle w:val="BodyText"/>
        <w:spacing w:line="424" w:lineRule="auto" w:before="142"/>
        <w:ind w:right="35"/>
        <w:jc w:val="left"/>
      </w:pPr>
      <w:r>
        <w:rPr>
          <w:spacing w:val="-2"/>
        </w:rPr>
        <w:t>①.描述说明专业近三年综合分析内部质量监控和外部评价结果，用于推动师范生培</w:t>
      </w:r>
      <w:r>
        <w:rPr>
          <w:spacing w:val="-39"/>
        </w:rPr>
        <w:t> </w:t>
      </w:r>
      <w:r>
        <w:rPr>
          <w:spacing w:val="-39"/>
        </w:rPr>
      </w:r>
      <w:r>
        <w:rPr/>
        <w:t>养质量持续改进和提高的情况，并举例说明。</w:t>
      </w:r>
    </w:p>
    <w:p>
      <w:pPr>
        <w:spacing w:after="0" w:line="424" w:lineRule="auto"/>
        <w:jc w:val="left"/>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②描述说明专业推进持续改进、追求卓越的质量文化建设的情况，并举例说明。</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172"/>
      <w:bookmarkEnd w:id="172"/>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7"/>
        <w:ind w:right="0"/>
        <w:jc w:val="both"/>
        <w:rPr>
          <w:b w:val="0"/>
          <w:bCs w:val="0"/>
        </w:rPr>
      </w:pPr>
      <w:bookmarkStart w:name="第三部分：改进措施" w:id="173"/>
      <w:bookmarkEnd w:id="173"/>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174"/>
      <w:bookmarkEnd w:id="174"/>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75"/>
      <w:bookmarkEnd w:id="175"/>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0"/>
        <w:jc w:val="left"/>
        <w:rPr>
          <w:rFonts w:ascii="微软雅黑" w:hAnsi="微软雅黑" w:cs="微软雅黑" w:eastAsia="微软雅黑"/>
        </w:rPr>
      </w:pPr>
      <w:r>
        <w:rPr>
          <w:rFonts w:ascii="微软雅黑" w:hAnsi="微软雅黑" w:cs="微软雅黑" w:eastAsia="微软雅黑"/>
        </w:rPr>
        <w:t>8.1 [生源质量] 建立符合教师教育特点的制度措施，能够吸引乐教、适教的优秀生 源。</w:t>
      </w:r>
    </w:p>
    <w:p>
      <w:pPr>
        <w:pStyle w:val="BodyText"/>
        <w:spacing w:line="340" w:lineRule="exact"/>
        <w:ind w:right="0"/>
        <w:jc w:val="both"/>
      </w:pPr>
      <w:r>
        <w:rPr/>
        <w:t>①列表说明专业近三年生源情况。</w:t>
      </w:r>
    </w:p>
    <w:p>
      <w:pPr>
        <w:spacing w:line="240" w:lineRule="auto" w:before="10"/>
        <w:rPr>
          <w:rFonts w:ascii="华文楷体" w:hAnsi="华文楷体" w:cs="华文楷体" w:eastAsia="华文楷体"/>
          <w:sz w:val="2"/>
          <w:szCs w:val="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4"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1"/>
          <w:szCs w:val="21"/>
        </w:rPr>
      </w:pPr>
    </w:p>
    <w:p>
      <w:pPr>
        <w:pStyle w:val="BodyText"/>
        <w:spacing w:line="350" w:lineRule="exact" w:before="2"/>
        <w:ind w:right="119"/>
        <w:jc w:val="both"/>
      </w:pPr>
      <w:r>
        <w:rPr/>
        <w:t>②描述说明学校和院系两级建立符合小学教育专业和教师教育特点、吸引乐教、适 教的优秀生源制度措施及效果情况。</w:t>
      </w:r>
    </w:p>
    <w:p>
      <w:pPr>
        <w:spacing w:line="240" w:lineRule="auto" w:before="11"/>
        <w:rPr>
          <w:rFonts w:ascii="华文楷体" w:hAnsi="华文楷体" w:cs="华文楷体" w:eastAsia="华文楷体"/>
          <w:sz w:val="26"/>
          <w:szCs w:val="26"/>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8.2 [学生需求] 充分了解师范生发展诉求，加强学情分析。设计兼顾共性要求与个 性需求的培养方案与教学管理制度，鼓励跨院、跨校选修课程，为师范生的自主选 择和发展提供足够的空间。</w:t>
      </w:r>
    </w:p>
    <w:p>
      <w:pPr>
        <w:spacing w:after="0" w:line="240" w:lineRule="auto"/>
        <w:jc w:val="both"/>
        <w:rPr>
          <w:rFonts w:ascii="微软雅黑" w:hAnsi="微软雅黑" w:cs="微软雅黑" w:eastAsia="微软雅黑"/>
        </w:rPr>
        <w:sectPr>
          <w:footerReference w:type="default" r:id="rId69"/>
          <w:pgSz w:w="12240" w:h="15840"/>
          <w:pgMar w:footer="680" w:header="773" w:top="960" w:bottom="860" w:left="1680" w:right="1680"/>
          <w:pgNumType w:start="2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建立完善的师范生指导与服务体系，加强思想政治教育，能够适时</w:t>
      </w:r>
    </w:p>
    <w:p>
      <w:pPr>
        <w:pStyle w:val="BodyText"/>
        <w:spacing w:line="412" w:lineRule="exact" w:before="20"/>
        <w:ind w:right="119"/>
        <w:jc w:val="both"/>
        <w:rPr>
          <w:rFonts w:ascii="微软雅黑" w:hAnsi="微软雅黑" w:cs="微软雅黑" w:eastAsia="微软雅黑"/>
        </w:rPr>
      </w:pPr>
      <w:r>
        <w:rPr>
          <w:rFonts w:ascii="微软雅黑" w:hAnsi="微软雅黑" w:cs="微软雅黑" w:eastAsia="微软雅黑"/>
        </w:rPr>
        <w:t>为师范生提供生活指导、学习指导、职业生涯指导、就业创业指导、心理健康指导 等，满足师范生成长需求，并取得实效。</w:t>
      </w:r>
    </w:p>
    <w:p>
      <w:pPr>
        <w:pStyle w:val="BodyText"/>
        <w:spacing w:line="240" w:lineRule="auto" w:before="125"/>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建立形成性评价机制，对师范生在整个学习过程中的表现进行跟踪</w:t>
      </w:r>
    </w:p>
    <w:p>
      <w:pPr>
        <w:pStyle w:val="BodyText"/>
        <w:spacing w:line="410" w:lineRule="exact" w:before="21"/>
        <w:ind w:right="119"/>
        <w:jc w:val="both"/>
        <w:rPr>
          <w:rFonts w:ascii="微软雅黑" w:hAnsi="微软雅黑" w:cs="微软雅黑" w:eastAsia="微软雅黑"/>
        </w:rPr>
      </w:pPr>
      <w:r>
        <w:rPr>
          <w:rFonts w:ascii="微软雅黑" w:hAnsi="微软雅黑" w:cs="微软雅黑" w:eastAsia="微软雅黑"/>
        </w:rPr>
        <w:t>与评估，鼓励师范生自我监测和自我评价，及时形成指导意见和改进策略，保证师 范生在毕业时达到毕业要求。</w:t>
      </w:r>
    </w:p>
    <w:p>
      <w:pPr>
        <w:pStyle w:val="BodyText"/>
        <w:spacing w:line="424" w:lineRule="auto" w:before="125"/>
        <w:ind w:right="119"/>
        <w:jc w:val="both"/>
      </w:pPr>
      <w:r>
        <w:rPr/>
        <w:t>①描述说明师范生形成性评价机制的建立情况，及对师范生在整个学习过程中的表 现进行跟踪与评估情况及实施成效。</w:t>
      </w:r>
    </w:p>
    <w:p>
      <w:pPr>
        <w:pStyle w:val="BodyText"/>
        <w:spacing w:line="424" w:lineRule="auto" w:before="65"/>
        <w:ind w:right="119"/>
        <w:jc w:val="both"/>
      </w:pPr>
      <w:r>
        <w:rPr/>
        <w:t>②描述说明近三年师范生学业预警情况，分析指导师范生开展自我监测和自我评价 评价的效果。</w:t>
      </w:r>
    </w:p>
    <w:p>
      <w:pPr>
        <w:pStyle w:val="BodyText"/>
        <w:spacing w:line="240" w:lineRule="auto" w:before="65"/>
        <w:ind w:right="0"/>
        <w:jc w:val="both"/>
      </w:pPr>
      <w:r>
        <w:rPr/>
        <w:t>③描述说明根据学生自我监测和自我评价结果进行指导和改进用以保证师范生在毕</w:t>
      </w:r>
    </w:p>
    <w:p>
      <w:pPr>
        <w:spacing w:after="0" w:line="240" w:lineRule="auto"/>
        <w:jc w:val="both"/>
        <w:sectPr>
          <w:pgSz w:w="12240" w:h="15840"/>
          <w:pgMar w:header="773" w:footer="68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left="1240" w:right="0"/>
        <w:jc w:val="left"/>
      </w:pPr>
      <w:r>
        <w:rPr/>
        <w:t>业时达到专业毕业要求的情况，并举例说明。</w:t>
      </w:r>
    </w:p>
    <w:p>
      <w:pPr>
        <w:pStyle w:val="BodyText"/>
        <w:spacing w:line="412" w:lineRule="exact" w:before="126"/>
        <w:ind w:left="1240" w:right="0"/>
        <w:jc w:val="left"/>
        <w:rPr>
          <w:rFonts w:ascii="微软雅黑" w:hAnsi="微软雅黑" w:cs="微软雅黑" w:eastAsia="微软雅黑"/>
        </w:rPr>
      </w:pPr>
      <w:r>
        <w:rPr>
          <w:rFonts w:ascii="微软雅黑" w:hAnsi="微软雅黑" w:cs="微软雅黑" w:eastAsia="微软雅黑"/>
        </w:rPr>
        <w:t>8.5 [就业质量] 毕业生的初次就业率不低于</w:t>
      </w:r>
      <w:r>
        <w:rPr>
          <w:rFonts w:ascii="微软雅黑" w:hAnsi="微软雅黑" w:cs="微软雅黑" w:eastAsia="微软雅黑"/>
          <w:spacing w:val="-9"/>
        </w:rPr>
        <w:t> </w:t>
      </w:r>
      <w:r>
        <w:rPr>
          <w:rFonts w:ascii="微软雅黑" w:hAnsi="微软雅黑" w:cs="微软雅黑" w:eastAsia="微软雅黑"/>
        </w:rPr>
        <w:t>75%，获得教师资格证书的比例不低于</w:t>
      </w:r>
    </w:p>
    <w:p>
      <w:pPr>
        <w:pStyle w:val="BodyText"/>
        <w:spacing w:line="412" w:lineRule="exact"/>
        <w:ind w:left="1240" w:right="0"/>
        <w:jc w:val="left"/>
        <w:rPr>
          <w:rFonts w:ascii="微软雅黑" w:hAnsi="微软雅黑" w:cs="微软雅黑" w:eastAsia="微软雅黑"/>
        </w:rPr>
      </w:pPr>
      <w:r>
        <w:rPr>
          <w:rFonts w:ascii="微软雅黑" w:hAnsi="微软雅黑" w:cs="微软雅黑" w:eastAsia="微软雅黑"/>
        </w:rPr>
        <w:t>85%，且主要从事教育工作。</w:t>
      </w:r>
    </w:p>
    <w:p>
      <w:pPr>
        <w:pStyle w:val="BodyText"/>
        <w:spacing w:line="240" w:lineRule="auto" w:before="144"/>
        <w:ind w:left="1240" w:right="0"/>
        <w:jc w:val="left"/>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②列表说明近三年专业毕业生教师资格考试通过率、就业率及就业去向，并对就业 质量及毕业生从教情况进行分析。</w:t>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20"/>
          <w:szCs w:val="20"/>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1764"/>
        <w:gridCol w:w="623"/>
        <w:gridCol w:w="2292"/>
        <w:gridCol w:w="735"/>
        <w:gridCol w:w="590"/>
        <w:gridCol w:w="827"/>
        <w:gridCol w:w="549"/>
        <w:gridCol w:w="590"/>
      </w:tblGrid>
      <w:tr>
        <w:trPr>
          <w:trHeight w:val="444"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54" w:right="155"/>
              <w:jc w:val="left"/>
              <w:rPr>
                <w:rFonts w:ascii="楷体" w:hAnsi="楷体" w:cs="楷体" w:eastAsia="楷体"/>
                <w:sz w:val="21"/>
                <w:szCs w:val="21"/>
              </w:rPr>
            </w:pPr>
            <w:r>
              <w:rPr>
                <w:rFonts w:ascii="楷体" w:hAnsi="楷体" w:cs="楷体" w:eastAsia="楷体"/>
                <w:sz w:val="21"/>
                <w:szCs w:val="21"/>
              </w:rPr>
              <w:t>毕业</w:t>
            </w:r>
            <w:r>
              <w:rPr>
                <w:rFonts w:ascii="楷体" w:hAnsi="楷体" w:cs="楷体" w:eastAsia="楷体"/>
                <w:w w:val="99"/>
                <w:sz w:val="21"/>
                <w:szCs w:val="21"/>
              </w:rPr>
              <w:t> </w:t>
            </w:r>
            <w:r>
              <w:rPr>
                <w:rFonts w:ascii="楷体" w:hAnsi="楷体" w:cs="楷体" w:eastAsia="楷体"/>
                <w:sz w:val="21"/>
                <w:szCs w:val="21"/>
              </w:rPr>
              <w:t>生数</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8"/>
              <w:ind w:right="0"/>
              <w:jc w:val="left"/>
              <w:rPr>
                <w:rFonts w:ascii="华文楷体" w:hAnsi="华文楷体" w:cs="华文楷体" w:eastAsia="华文楷体"/>
                <w:sz w:val="14"/>
                <w:szCs w:val="14"/>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0"/>
                <w:szCs w:val="20"/>
              </w:rPr>
            </w:pPr>
          </w:p>
          <w:p>
            <w:pPr>
              <w:pStyle w:val="TableParagraph"/>
              <w:spacing w:line="355" w:lineRule="auto"/>
              <w:ind w:left="168" w:right="167"/>
              <w:jc w:val="left"/>
              <w:rPr>
                <w:rFonts w:ascii="楷体" w:hAnsi="楷体" w:cs="楷体" w:eastAsia="楷体"/>
                <w:sz w:val="21"/>
                <w:szCs w:val="21"/>
              </w:rPr>
            </w:pPr>
            <w:r>
              <w:rPr>
                <w:rFonts w:ascii="楷体" w:hAnsi="楷体" w:cs="楷体" w:eastAsia="楷体"/>
                <w:sz w:val="21"/>
                <w:szCs w:val="21"/>
              </w:rPr>
              <w:t>获学</w:t>
            </w:r>
            <w:r>
              <w:rPr>
                <w:rFonts w:ascii="楷体" w:hAnsi="楷体" w:cs="楷体" w:eastAsia="楷体"/>
                <w:w w:val="99"/>
                <w:sz w:val="21"/>
                <w:szCs w:val="21"/>
              </w:rPr>
              <w:t> </w:t>
            </w:r>
            <w:r>
              <w:rPr>
                <w:rFonts w:ascii="楷体" w:hAnsi="楷体" w:cs="楷体" w:eastAsia="楷体"/>
                <w:sz w:val="21"/>
                <w:szCs w:val="21"/>
              </w:rPr>
              <w:t>位率</w:t>
            </w:r>
          </w:p>
        </w:tc>
        <w:tc>
          <w:tcPr>
            <w:tcW w:w="1764" w:type="dxa"/>
            <w:vMerge w:val="restart"/>
            <w:tcBorders>
              <w:top w:val="single" w:sz="4" w:space="0" w:color="000000"/>
              <w:left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248" w:lineRule="exact"/>
              <w:ind w:right="881"/>
              <w:jc w:val="center"/>
              <w:rPr>
                <w:rFonts w:ascii="楷体" w:hAnsi="楷体" w:cs="楷体" w:eastAsia="楷体"/>
                <w:sz w:val="21"/>
                <w:szCs w:val="21"/>
              </w:rPr>
            </w:pPr>
            <w:r>
              <w:rPr>
                <w:rFonts w:ascii="楷体" w:hAnsi="楷体" w:cs="楷体" w:eastAsia="楷体"/>
                <w:sz w:val="21"/>
                <w:szCs w:val="21"/>
              </w:rPr>
              <w:t>获教师</w:t>
            </w:r>
          </w:p>
          <w:p>
            <w:pPr>
              <w:pStyle w:val="TableParagraph"/>
              <w:spacing w:line="204" w:lineRule="exact"/>
              <w:ind w:left="882" w:right="0"/>
              <w:jc w:val="center"/>
              <w:rPr>
                <w:rFonts w:ascii="楷体" w:hAnsi="楷体" w:cs="楷体" w:eastAsia="楷体"/>
                <w:sz w:val="21"/>
                <w:szCs w:val="21"/>
              </w:rPr>
            </w:pPr>
            <w:r>
              <w:rPr>
                <w:rFonts w:ascii="楷体" w:hAnsi="楷体" w:cs="楷体" w:eastAsia="楷体"/>
                <w:sz w:val="21"/>
                <w:szCs w:val="21"/>
              </w:rPr>
              <w:t>一次就</w:t>
            </w:r>
          </w:p>
          <w:p>
            <w:pPr>
              <w:pStyle w:val="TableParagraph"/>
              <w:spacing w:line="204" w:lineRule="exact"/>
              <w:ind w:right="881"/>
              <w:jc w:val="center"/>
              <w:rPr>
                <w:rFonts w:ascii="楷体" w:hAnsi="楷体" w:cs="楷体" w:eastAsia="楷体"/>
                <w:sz w:val="21"/>
                <w:szCs w:val="21"/>
              </w:rPr>
            </w:pPr>
            <w:r>
              <w:rPr>
                <w:rFonts w:ascii="楷体" w:hAnsi="楷体" w:cs="楷体" w:eastAsia="楷体"/>
                <w:sz w:val="21"/>
                <w:szCs w:val="21"/>
              </w:rPr>
              <w:t>资格证</w:t>
            </w:r>
          </w:p>
          <w:p>
            <w:pPr>
              <w:pStyle w:val="TableParagraph"/>
              <w:spacing w:line="204" w:lineRule="exact"/>
              <w:ind w:left="877" w:right="0"/>
              <w:jc w:val="center"/>
              <w:rPr>
                <w:rFonts w:ascii="楷体" w:hAnsi="楷体" w:cs="楷体" w:eastAsia="楷体"/>
                <w:sz w:val="21"/>
                <w:szCs w:val="21"/>
              </w:rPr>
            </w:pPr>
            <w:r>
              <w:rPr>
                <w:rFonts w:ascii="楷体" w:hAnsi="楷体" w:cs="楷体" w:eastAsia="楷体"/>
                <w:sz w:val="21"/>
                <w:szCs w:val="21"/>
              </w:rPr>
              <w:t>业率</w:t>
            </w:r>
          </w:p>
          <w:p>
            <w:pPr>
              <w:pStyle w:val="TableParagraph"/>
              <w:spacing w:line="231" w:lineRule="exact"/>
              <w:ind w:right="881"/>
              <w:jc w:val="center"/>
              <w:rPr>
                <w:rFonts w:ascii="楷体" w:hAnsi="楷体" w:cs="楷体" w:eastAsia="楷体"/>
                <w:sz w:val="21"/>
                <w:szCs w:val="21"/>
              </w:rPr>
            </w:pPr>
            <w:r>
              <w:rPr>
                <w:rFonts w:ascii="楷体" w:hAnsi="楷体" w:cs="楷体" w:eastAsia="楷体"/>
                <w:sz w:val="21"/>
                <w:szCs w:val="21"/>
              </w:rPr>
              <w:t>书率</w:t>
            </w:r>
          </w:p>
        </w:tc>
        <w:tc>
          <w:tcPr>
            <w:tcW w:w="6206" w:type="dxa"/>
            <w:gridSpan w:val="7"/>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1644"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1764" w:type="dxa"/>
            <w:vMerge/>
            <w:tcBorders>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2292" w:type="dxa"/>
            <w:tcBorders>
              <w:top w:val="single" w:sz="4" w:space="0" w:color="000000"/>
              <w:left w:val="single" w:sz="4" w:space="0" w:color="000000"/>
              <w:bottom w:val="single" w:sz="4" w:space="0" w:color="000000"/>
              <w:right w:val="single" w:sz="4" w:space="0" w:color="000000"/>
            </w:tcBorders>
          </w:tcPr>
          <w:p>
            <w:pPr>
              <w:pStyle w:val="TableParagraph"/>
              <w:tabs>
                <w:tab w:pos="1144" w:val="left" w:leader="none"/>
              </w:tabs>
              <w:spacing w:line="242" w:lineRule="exact"/>
              <w:ind w:right="1"/>
              <w:jc w:val="center"/>
              <w:rPr>
                <w:rFonts w:ascii="楷体" w:hAnsi="楷体" w:cs="楷体" w:eastAsia="楷体"/>
                <w:sz w:val="21"/>
                <w:szCs w:val="21"/>
              </w:rPr>
            </w:pPr>
            <w:r>
              <w:rPr>
                <w:rFonts w:ascii="楷体" w:hAnsi="楷体" w:cs="楷体" w:eastAsia="楷体"/>
                <w:w w:val="95"/>
                <w:sz w:val="21"/>
                <w:szCs w:val="21"/>
              </w:rPr>
              <w:t>政府及事</w:t>
              <w:tab/>
            </w:r>
            <w:r>
              <w:rPr>
                <w:rFonts w:ascii="楷体" w:hAnsi="楷体" w:cs="楷体" w:eastAsia="楷体"/>
                <w:sz w:val="21"/>
                <w:szCs w:val="21"/>
              </w:rPr>
              <w:t>政府及事</w:t>
            </w:r>
          </w:p>
          <w:p>
            <w:pPr>
              <w:pStyle w:val="TableParagraph"/>
              <w:tabs>
                <w:tab w:pos="1144" w:val="left" w:leader="none"/>
              </w:tabs>
              <w:spacing w:line="240" w:lineRule="auto" w:before="133"/>
              <w:ind w:right="1"/>
              <w:jc w:val="center"/>
              <w:rPr>
                <w:rFonts w:ascii="楷体" w:hAnsi="楷体" w:cs="楷体" w:eastAsia="楷体"/>
                <w:sz w:val="21"/>
                <w:szCs w:val="21"/>
              </w:rPr>
            </w:pPr>
            <w:r>
              <w:rPr>
                <w:rFonts w:ascii="楷体" w:hAnsi="楷体" w:cs="楷体" w:eastAsia="楷体"/>
                <w:w w:val="95"/>
                <w:sz w:val="21"/>
                <w:szCs w:val="21"/>
              </w:rPr>
              <w:t>业单位</w:t>
              <w:tab/>
            </w:r>
            <w:r>
              <w:rPr>
                <w:rFonts w:ascii="楷体" w:hAnsi="楷体" w:cs="楷体" w:eastAsia="楷体"/>
                <w:sz w:val="21"/>
                <w:szCs w:val="21"/>
              </w:rPr>
              <w:t>业单位</w:t>
            </w:r>
          </w:p>
          <w:p>
            <w:pPr>
              <w:pStyle w:val="TableParagraph"/>
              <w:tabs>
                <w:tab w:pos="1189" w:val="left" w:leader="none"/>
                <w:tab w:pos="1292" w:val="left" w:leader="none"/>
              </w:tabs>
              <w:spacing w:line="355" w:lineRule="auto" w:before="133"/>
              <w:ind w:left="148" w:right="149"/>
              <w:jc w:val="center"/>
              <w:rPr>
                <w:rFonts w:ascii="楷体" w:hAnsi="楷体" w:cs="楷体" w:eastAsia="楷体"/>
                <w:sz w:val="21"/>
                <w:szCs w:val="21"/>
              </w:rPr>
            </w:pPr>
            <w:r>
              <w:rPr>
                <w:rFonts w:ascii="楷体" w:hAnsi="楷体" w:cs="楷体" w:eastAsia="楷体"/>
                <w:w w:val="95"/>
                <w:sz w:val="21"/>
                <w:szCs w:val="21"/>
              </w:rPr>
              <w:t>（教育部</w:t>
              <w:tab/>
              <w:tab/>
            </w:r>
            <w:r>
              <w:rPr>
                <w:rFonts w:ascii="楷体" w:hAnsi="楷体" w:cs="楷体" w:eastAsia="楷体"/>
                <w:sz w:val="21"/>
                <w:szCs w:val="21"/>
              </w:rPr>
              <w:t>（非教育</w:t>
            </w:r>
            <w:r>
              <w:rPr>
                <w:rFonts w:ascii="楷体" w:hAnsi="楷体" w:cs="楷体" w:eastAsia="楷体"/>
                <w:w w:val="99"/>
                <w:sz w:val="21"/>
                <w:szCs w:val="21"/>
              </w:rPr>
              <w:t> </w:t>
            </w:r>
            <w:r>
              <w:rPr>
                <w:rFonts w:ascii="楷体" w:hAnsi="楷体" w:cs="楷体" w:eastAsia="楷体"/>
                <w:spacing w:val="-1"/>
                <w:w w:val="95"/>
                <w:sz w:val="21"/>
                <w:szCs w:val="21"/>
              </w:rPr>
              <w:t>门）</w:t>
              <w:tab/>
            </w:r>
            <w:r>
              <w:rPr>
                <w:rFonts w:ascii="楷体" w:hAnsi="楷体" w:cs="楷体" w:eastAsia="楷体"/>
                <w:sz w:val="21"/>
                <w:szCs w:val="21"/>
              </w:rPr>
              <w:t>部门）</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52" w:right="152"/>
              <w:jc w:val="left"/>
              <w:rPr>
                <w:rFonts w:ascii="楷体" w:hAnsi="楷体" w:cs="楷体" w:eastAsia="楷体"/>
                <w:sz w:val="21"/>
                <w:szCs w:val="21"/>
              </w:rPr>
            </w:pPr>
            <w:r>
              <w:rPr>
                <w:rFonts w:ascii="楷体" w:hAnsi="楷体" w:cs="楷体" w:eastAsia="楷体"/>
                <w:sz w:val="21"/>
                <w:szCs w:val="21"/>
              </w:rPr>
              <w:t>国有</w:t>
            </w:r>
            <w:r>
              <w:rPr>
                <w:rFonts w:ascii="楷体" w:hAnsi="楷体" w:cs="楷体" w:eastAsia="楷体"/>
                <w:w w:val="99"/>
                <w:sz w:val="21"/>
                <w:szCs w:val="21"/>
              </w:rPr>
              <w:t> </w:t>
            </w:r>
            <w:r>
              <w:rPr>
                <w:rFonts w:ascii="楷体" w:hAnsi="楷体" w:cs="楷体" w:eastAsia="楷体"/>
                <w:sz w:val="21"/>
                <w:szCs w:val="21"/>
              </w:rPr>
              <w:t>企业</w:t>
            </w:r>
          </w:p>
        </w:tc>
        <w:tc>
          <w:tcPr>
            <w:tcW w:w="59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98" w:right="199"/>
              <w:jc w:val="left"/>
              <w:rPr>
                <w:rFonts w:ascii="楷体" w:hAnsi="楷体" w:cs="楷体" w:eastAsia="楷体"/>
                <w:sz w:val="21"/>
                <w:szCs w:val="21"/>
              </w:rPr>
            </w:pPr>
            <w:r>
              <w:rPr>
                <w:rFonts w:ascii="楷体" w:hAnsi="楷体" w:cs="楷体" w:eastAsia="楷体"/>
                <w:sz w:val="21"/>
                <w:szCs w:val="21"/>
              </w:rPr>
              <w:t>其它</w:t>
            </w:r>
            <w:r>
              <w:rPr>
                <w:rFonts w:ascii="楷体" w:hAnsi="楷体" w:cs="楷体" w:eastAsia="楷体"/>
                <w:w w:val="99"/>
                <w:sz w:val="21"/>
                <w:szCs w:val="21"/>
              </w:rPr>
              <w:t> </w:t>
            </w:r>
            <w:r>
              <w:rPr>
                <w:rFonts w:ascii="楷体" w:hAnsi="楷体" w:cs="楷体" w:eastAsia="楷体"/>
                <w:sz w:val="21"/>
                <w:szCs w:val="21"/>
              </w:rPr>
              <w:t>企业</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5"/>
                <w:szCs w:val="25"/>
              </w:rPr>
            </w:pPr>
          </w:p>
          <w:p>
            <w:pPr>
              <w:pStyle w:val="TableParagraph"/>
              <w:spacing w:line="355"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4"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1"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8" w:lineRule="exact"/>
        <w:ind w:left="1240" w:right="0"/>
        <w:jc w:val="left"/>
        <w:rPr>
          <w:rFonts w:ascii="微软雅黑" w:hAnsi="微软雅黑" w:cs="微软雅黑" w:eastAsia="微软雅黑"/>
        </w:rPr>
      </w:pPr>
      <w:r>
        <w:rPr>
          <w:rFonts w:ascii="微软雅黑" w:hAnsi="微软雅黑" w:cs="微软雅黑" w:eastAsia="微软雅黑"/>
        </w:rPr>
        <w:t>8.6 [社会声誉]</w:t>
      </w:r>
      <w:r>
        <w:rPr>
          <w:rFonts w:ascii="微软雅黑" w:hAnsi="微软雅黑" w:cs="微软雅黑" w:eastAsia="微软雅黑"/>
          <w:spacing w:val="45"/>
        </w:rPr>
        <w:t> </w:t>
      </w:r>
      <w:r>
        <w:rPr>
          <w:rFonts w:ascii="微软雅黑" w:hAnsi="微软雅黑" w:cs="微软雅黑" w:eastAsia="微软雅黑"/>
        </w:rPr>
        <w:t>毕业生社会声誉好，用人单位满意度高。</w:t>
      </w:r>
    </w:p>
    <w:p>
      <w:pPr>
        <w:pStyle w:val="BodyText"/>
        <w:spacing w:line="424" w:lineRule="auto" w:before="144"/>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pStyle w:val="BodyText"/>
        <w:spacing w:line="410" w:lineRule="exact" w:before="98"/>
        <w:ind w:left="1240" w:right="0"/>
        <w:jc w:val="left"/>
        <w:rPr>
          <w:rFonts w:ascii="微软雅黑" w:hAnsi="微软雅黑" w:cs="微软雅黑" w:eastAsia="微软雅黑"/>
        </w:rPr>
      </w:pPr>
      <w:r>
        <w:rPr>
          <w:rFonts w:ascii="微软雅黑" w:hAnsi="微软雅黑" w:cs="微软雅黑" w:eastAsia="微软雅黑"/>
        </w:rPr>
        <w:t>8.7 [持续支持] 对毕业生进行跟踪服务，了解毕业生专业发展需求，为毕业生提供 持续学习的机会和平台。</w:t>
      </w:r>
    </w:p>
    <w:p>
      <w:pPr>
        <w:pStyle w:val="BodyText"/>
        <w:spacing w:line="240" w:lineRule="auto" w:before="125"/>
        <w:ind w:left="1240" w:right="0"/>
        <w:jc w:val="left"/>
      </w:pPr>
      <w:r>
        <w:rPr/>
        <w:t>①描述说明专业建立持续支持毕业生的服务机制的情况及其实效。</w:t>
      </w:r>
    </w:p>
    <w:p>
      <w:pPr>
        <w:spacing w:line="240" w:lineRule="auto" w:before="8"/>
        <w:rPr>
          <w:rFonts w:ascii="华文楷体" w:hAnsi="华文楷体" w:cs="华文楷体" w:eastAsia="华文楷体"/>
          <w:sz w:val="18"/>
          <w:szCs w:val="18"/>
        </w:rPr>
      </w:pPr>
    </w:p>
    <w:p>
      <w:pPr>
        <w:pStyle w:val="BodyText"/>
        <w:spacing w:line="240" w:lineRule="auto"/>
        <w:ind w:left="1240" w:right="0"/>
        <w:jc w:val="left"/>
      </w:pPr>
      <w:r>
        <w:rPr/>
        <w:t>②列表说明专业近三年开展的支持毕业生专业发展需求的服务活动及其实效。</w:t>
      </w:r>
    </w:p>
    <w:p>
      <w:pPr>
        <w:spacing w:after="0" w:line="240" w:lineRule="auto"/>
        <w:jc w:val="left"/>
        <w:sectPr>
          <w:pgSz w:w="12240" w:h="15840"/>
          <w:pgMar w:header="773" w:footer="680" w:top="960" w:bottom="880" w:left="560" w:right="56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left="220" w:right="0"/>
        <w:jc w:val="left"/>
        <w:rPr>
          <w:b w:val="0"/>
          <w:bCs w:val="0"/>
        </w:rPr>
      </w:pPr>
      <w:bookmarkStart w:name="第二部分：主要问题" w:id="176"/>
      <w:bookmarkEnd w:id="176"/>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10"/>
        <w:rPr>
          <w:rFonts w:ascii="楷体" w:hAnsi="楷体" w:cs="楷体" w:eastAsia="楷体"/>
          <w:sz w:val="17"/>
          <w:szCs w:val="17"/>
        </w:rPr>
      </w:pPr>
    </w:p>
    <w:p>
      <w:pPr>
        <w:pStyle w:val="Heading5"/>
        <w:spacing w:line="240" w:lineRule="auto"/>
        <w:ind w:left="220" w:right="0"/>
        <w:jc w:val="left"/>
        <w:rPr>
          <w:b w:val="0"/>
          <w:bCs w:val="0"/>
        </w:rPr>
      </w:pPr>
      <w:bookmarkStart w:name="第三部分：改进措施" w:id="177"/>
      <w:bookmarkEnd w:id="177"/>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8"/>
        <w:rPr>
          <w:rFonts w:ascii="楷体" w:hAnsi="楷体" w:cs="楷体" w:eastAsia="楷体"/>
          <w:sz w:val="14"/>
          <w:szCs w:val="14"/>
        </w:rPr>
      </w:pPr>
    </w:p>
    <w:p>
      <w:pPr>
        <w:pStyle w:val="Heading4"/>
        <w:spacing w:line="240" w:lineRule="auto"/>
        <w:ind w:left="220" w:right="0"/>
        <w:jc w:val="left"/>
        <w:rPr>
          <w:b w:val="0"/>
          <w:bCs w:val="0"/>
        </w:rPr>
      </w:pPr>
      <w:bookmarkStart w:name="附录 支撑材料清单" w:id="178"/>
      <w:bookmarkEnd w:id="178"/>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6"/>
              <w:ind w:right="0"/>
              <w:jc w:val="left"/>
              <w:rPr>
                <w:rFonts w:ascii="微软雅黑" w:hAnsi="微软雅黑" w:cs="微软雅黑" w:eastAsia="微软雅黑"/>
                <w:b/>
                <w:bCs/>
                <w:sz w:val="22"/>
                <w:szCs w:val="2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2.9</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2.10</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5"/>
              <w:ind w:right="0"/>
              <w:jc w:val="left"/>
              <w:rPr>
                <w:rFonts w:ascii="微软雅黑" w:hAnsi="微软雅黑" w:cs="微软雅黑" w:eastAsia="微软雅黑"/>
                <w:b/>
                <w:bCs/>
                <w:sz w:val="12"/>
                <w:szCs w:val="12"/>
              </w:rPr>
            </w:pPr>
          </w:p>
          <w:p>
            <w:pPr>
              <w:pStyle w:val="TableParagraph"/>
              <w:spacing w:line="295"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2"/>
              <w:ind w:right="0"/>
              <w:jc w:val="left"/>
              <w:rPr>
                <w:rFonts w:ascii="微软雅黑" w:hAnsi="微软雅黑" w:cs="微软雅黑" w:eastAsia="微软雅黑"/>
                <w:b/>
                <w:bCs/>
                <w:sz w:val="22"/>
                <w:szCs w:val="2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header="773" w:footer="680" w:top="960" w:bottom="88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tcBorders>
              <w:top w:val="single" w:sz="4" w:space="0" w:color="000000"/>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6"/>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8.7</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70"/>
          <w:pgSz w:w="12240" w:h="15840"/>
          <w:pgMar w:header="773" w:footer="680" w:top="960" w:bottom="860" w:left="1580" w:right="1580"/>
        </w:sectPr>
      </w:pPr>
    </w:p>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29"/>
          <w:szCs w:val="29"/>
        </w:rPr>
      </w:pPr>
    </w:p>
    <w:p>
      <w:pPr>
        <w:spacing w:line="621" w:lineRule="exact" w:before="0"/>
        <w:ind w:left="1041" w:right="1039" w:firstLine="0"/>
        <w:jc w:val="center"/>
        <w:rPr>
          <w:rFonts w:ascii="黑体" w:hAnsi="黑体" w:cs="黑体" w:eastAsia="黑体"/>
          <w:sz w:val="52"/>
          <w:szCs w:val="52"/>
        </w:rPr>
      </w:pPr>
      <w:r>
        <w:rPr>
          <w:rFonts w:ascii="黑体" w:hAnsi="黑体" w:cs="黑体" w:eastAsia="黑体"/>
          <w:sz w:val="52"/>
          <w:szCs w:val="52"/>
        </w:rPr>
        <w:t>普通高等学校师范类专业认证</w:t>
      </w:r>
    </w:p>
    <w:p>
      <w:pPr>
        <w:spacing w:before="411"/>
        <w:ind w:left="1039" w:right="1039" w:firstLine="0"/>
        <w:jc w:val="center"/>
        <w:rPr>
          <w:rFonts w:ascii="黑体" w:hAnsi="黑体" w:cs="黑体" w:eastAsia="黑体"/>
          <w:sz w:val="52"/>
          <w:szCs w:val="52"/>
        </w:rPr>
      </w:pPr>
      <w:bookmarkStart w:name="（学前教育第二级）" w:id="179"/>
      <w:bookmarkEnd w:id="179"/>
      <w:r>
        <w:rPr/>
      </w:r>
      <w:r>
        <w:rPr>
          <w:rFonts w:ascii="黑体" w:hAnsi="黑体" w:cs="黑体" w:eastAsia="黑体"/>
          <w:sz w:val="52"/>
          <w:szCs w:val="52"/>
        </w:rPr>
        <w:t>（学前教育第二级）</w:t>
      </w:r>
    </w:p>
    <w:p>
      <w:pPr>
        <w:spacing w:before="250"/>
        <w:ind w:left="1039" w:right="1039" w:firstLine="0"/>
        <w:jc w:val="center"/>
        <w:rPr>
          <w:rFonts w:ascii="黑体" w:hAnsi="黑体" w:cs="黑体" w:eastAsia="黑体"/>
          <w:sz w:val="72"/>
          <w:szCs w:val="72"/>
        </w:rPr>
      </w:pPr>
      <w:bookmarkStart w:name="自评报告" w:id="180"/>
      <w:bookmarkEnd w:id="180"/>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spacing w:line="511" w:lineRule="auto" w:before="0"/>
        <w:ind w:left="1514" w:right="5699" w:firstLine="0"/>
        <w:jc w:val="left"/>
        <w:rPr>
          <w:rFonts w:ascii="黑体" w:hAnsi="黑体" w:cs="黑体" w:eastAsia="黑体"/>
          <w:sz w:val="28"/>
          <w:szCs w:val="28"/>
        </w:rPr>
      </w:pPr>
      <w:r>
        <w:rPr>
          <w:rFonts w:ascii="黑体" w:hAnsi="黑体" w:cs="黑体" w:eastAsia="黑体"/>
          <w:b/>
          <w:bCs/>
          <w:sz w:val="28"/>
          <w:szCs w:val="28"/>
        </w:rPr>
        <w:t>学校：</w:t>
      </w:r>
      <w:r>
        <w:rPr>
          <w:rFonts w:ascii="黑体" w:hAnsi="黑体" w:cs="黑体" w:eastAsia="黑体"/>
          <w:b/>
          <w:bCs/>
          <w:w w:val="99"/>
          <w:sz w:val="28"/>
          <w:szCs w:val="28"/>
        </w:rPr>
        <w:t> </w:t>
      </w:r>
      <w:r>
        <w:rPr>
          <w:rFonts w:ascii="黑体" w:hAnsi="黑体" w:cs="黑体" w:eastAsia="黑体"/>
          <w:b/>
          <w:bCs/>
          <w:sz w:val="28"/>
          <w:szCs w:val="28"/>
        </w:rPr>
        <w:t>专业：</w:t>
      </w:r>
      <w:r>
        <w:rPr>
          <w:rFonts w:ascii="黑体" w:hAnsi="黑体" w:cs="黑体" w:eastAsia="黑体"/>
          <w:b/>
          <w:bCs/>
          <w:w w:val="99"/>
          <w:sz w:val="28"/>
          <w:szCs w:val="28"/>
        </w:rPr>
        <w:t> </w:t>
      </w:r>
      <w:r>
        <w:rPr>
          <w:rFonts w:ascii="黑体" w:hAnsi="黑体" w:cs="黑体" w:eastAsia="黑体"/>
          <w:b/>
          <w:bCs/>
          <w:w w:val="95"/>
          <w:sz w:val="28"/>
          <w:szCs w:val="28"/>
        </w:rPr>
        <w:t>完成时间：</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w w:val="95"/>
          <w:sz w:val="28"/>
          <w:szCs w:val="28"/>
        </w:rPr>
        <w:t>联系电话：</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sz w:val="28"/>
          <w:szCs w:val="28"/>
        </w:rPr>
        <w:t>电子邮件</w:t>
      </w:r>
      <w:r>
        <w:rPr>
          <w:rFonts w:ascii="黑体" w:hAnsi="黑体" w:cs="黑体" w:eastAsia="黑体"/>
          <w:sz w:val="28"/>
          <w:szCs w:val="28"/>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headerReference w:type="default" r:id="rId71"/>
          <w:footerReference w:type="default" r:id="rId72"/>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headerReference w:type="default" r:id="rId73"/>
          <w:footerReference w:type="default" r:id="rId74"/>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headerReference w:type="default" r:id="rId75"/>
          <w:footerReference w:type="default" r:id="rId76"/>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181"/>
      <w:bookmarkEnd w:id="181"/>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182"/>
      <w:bookmarkEnd w:id="182"/>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183"/>
      <w:bookmarkEnd w:id="183"/>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9"/>
        <w:jc w:val="both"/>
        <w:rPr>
          <w:rFonts w:ascii="微软雅黑" w:hAnsi="微软雅黑" w:cs="微软雅黑" w:eastAsia="微软雅黑"/>
        </w:rPr>
      </w:pPr>
      <w:r>
        <w:rPr>
          <w:rFonts w:ascii="微软雅黑" w:hAnsi="微软雅黑" w:cs="微软雅黑" w:eastAsia="微软雅黑"/>
        </w:rPr>
        <w:t>1.1[目标定位]</w:t>
      </w:r>
      <w:r>
        <w:rPr>
          <w:rFonts w:ascii="微软雅黑" w:hAnsi="微软雅黑" w:cs="微软雅黑" w:eastAsia="微软雅黑"/>
          <w:spacing w:val="68"/>
        </w:rPr>
        <w:t> </w:t>
      </w:r>
      <w:r>
        <w:rPr>
          <w:rFonts w:ascii="微软雅黑" w:hAnsi="微软雅黑" w:cs="微软雅黑" w:eastAsia="微软雅黑"/>
          <w:spacing w:val="2"/>
        </w:rPr>
        <w:t>培养目标应贯彻党的教育方针，面向国家、地区基础教育改革发展</w:t>
      </w:r>
      <w:r>
        <w:rPr>
          <w:rFonts w:ascii="微软雅黑" w:hAnsi="微软雅黑" w:cs="微软雅黑" w:eastAsia="微软雅黑"/>
          <w:spacing w:val="-68"/>
        </w:rPr>
        <w:t> </w:t>
      </w:r>
      <w:r>
        <w:rPr>
          <w:rFonts w:ascii="微软雅黑" w:hAnsi="微软雅黑" w:cs="微软雅黑" w:eastAsia="微软雅黑"/>
          <w:spacing w:val="-68"/>
        </w:rPr>
      </w:r>
      <w:r>
        <w:rPr>
          <w:rFonts w:ascii="微软雅黑" w:hAnsi="微软雅黑" w:cs="微软雅黑" w:eastAsia="微软雅黑"/>
        </w:rPr>
        <w:t>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77"/>
          <w:pgSz w:w="12240" w:h="15840"/>
          <w:pgMar w:footer="700" w:header="773" w:top="960" w:bottom="88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0"/>
        <w:rPr>
          <w:rFonts w:ascii="华文楷体" w:hAnsi="华文楷体" w:cs="华文楷体" w:eastAsia="华文楷体"/>
          <w:sz w:val="17"/>
          <w:szCs w:val="17"/>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1.2[目标内涵]</w:t>
      </w:r>
      <w:r>
        <w:rPr>
          <w:rFonts w:ascii="微软雅黑" w:hAnsi="微软雅黑" w:cs="微软雅黑" w:eastAsia="微软雅黑"/>
          <w:spacing w:val="6"/>
        </w:rPr>
        <w:t> </w:t>
      </w:r>
      <w:r>
        <w:rPr>
          <w:rFonts w:ascii="微软雅黑" w:hAnsi="微软雅黑" w:cs="微软雅黑" w:eastAsia="微软雅黑"/>
        </w:rPr>
        <w:t>培养目标内容明确清晰，反映师范生毕业后</w:t>
      </w:r>
      <w:r>
        <w:rPr>
          <w:rFonts w:ascii="微软雅黑" w:hAnsi="微软雅黑" w:cs="微软雅黑" w:eastAsia="微软雅黑"/>
          <w:spacing w:val="5"/>
        </w:rPr>
        <w:t> </w:t>
      </w:r>
      <w:r>
        <w:rPr>
          <w:rFonts w:ascii="微软雅黑" w:hAnsi="微软雅黑" w:cs="微软雅黑" w:eastAsia="微软雅黑"/>
        </w:rPr>
        <w:t>5</w:t>
      </w:r>
      <w:r>
        <w:rPr>
          <w:rFonts w:ascii="微软雅黑" w:hAnsi="微软雅黑" w:cs="微软雅黑" w:eastAsia="微软雅黑"/>
          <w:spacing w:val="6"/>
        </w:rPr>
        <w:t> </w:t>
      </w:r>
      <w:r>
        <w:rPr>
          <w:rFonts w:ascii="微软雅黑" w:hAnsi="微软雅黑" w:cs="微软雅黑" w:eastAsia="微软雅黑"/>
        </w:rPr>
        <w:t>年左右在社会和专业</w:t>
      </w:r>
      <w:r>
        <w:rPr>
          <w:rFonts w:ascii="微软雅黑" w:hAnsi="微软雅黑" w:cs="微软雅黑" w:eastAsia="微软雅黑"/>
          <w:spacing w:val="-67"/>
        </w:rPr>
        <w:t> </w:t>
      </w:r>
      <w:r>
        <w:rPr>
          <w:rFonts w:ascii="微软雅黑" w:hAnsi="微软雅黑" w:cs="微软雅黑" w:eastAsia="微软雅黑"/>
          <w:spacing w:val="-67"/>
        </w:rPr>
      </w:r>
      <w:r>
        <w:rPr>
          <w:rFonts w:ascii="微软雅黑" w:hAnsi="微软雅黑" w:cs="微软雅黑" w:eastAsia="微软雅黑"/>
        </w:rPr>
        <w:t>领域的发展预期，体现专业特色，并能够为师范生、教师、教学管理人员及其他利 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③描述并举证说明专业采取多种途径让培养目标能够为本专业师范生、教师、教学 管理人员及其他利益相关方接受、认同。</w:t>
      </w:r>
    </w:p>
    <w:p>
      <w:pPr>
        <w:spacing w:line="240" w:lineRule="auto" w:before="6"/>
        <w:rPr>
          <w:rFonts w:ascii="华文楷体" w:hAnsi="华文楷体" w:cs="华文楷体" w:eastAsia="华文楷体"/>
          <w:sz w:val="26"/>
          <w:szCs w:val="26"/>
        </w:rPr>
      </w:pPr>
    </w:p>
    <w:p>
      <w:pPr>
        <w:pStyle w:val="BodyText"/>
        <w:spacing w:line="240" w:lineRule="auto"/>
        <w:ind w:right="358"/>
        <w:jc w:val="both"/>
        <w:rPr>
          <w:rFonts w:ascii="微软雅黑" w:hAnsi="微软雅黑" w:cs="微软雅黑" w:eastAsia="微软雅黑"/>
        </w:rPr>
      </w:pPr>
      <w:r>
        <w:rPr>
          <w:rFonts w:ascii="微软雅黑" w:hAnsi="微软雅黑" w:cs="微软雅黑" w:eastAsia="微软雅黑"/>
        </w:rPr>
        <w:t>1.3[目标评价]</w:t>
      </w:r>
      <w:r>
        <w:rPr>
          <w:rFonts w:ascii="微软雅黑" w:hAnsi="微软雅黑" w:cs="微软雅黑" w:eastAsia="微软雅黑"/>
          <w:spacing w:val="68"/>
        </w:rPr>
        <w:t> </w:t>
      </w:r>
      <w:r>
        <w:rPr>
          <w:rFonts w:ascii="微软雅黑" w:hAnsi="微软雅黑" w:cs="微软雅黑" w:eastAsia="微软雅黑"/>
          <w:spacing w:val="2"/>
        </w:rPr>
        <w:t>定期对培养目标的合理性进行评价，并能够根据评价结果对培养目</w:t>
      </w:r>
      <w:r>
        <w:rPr>
          <w:rFonts w:ascii="微软雅黑" w:hAnsi="微软雅黑" w:cs="微软雅黑" w:eastAsia="微软雅黑"/>
          <w:spacing w:val="-68"/>
        </w:rPr>
        <w:t> </w:t>
      </w:r>
      <w:r>
        <w:rPr>
          <w:rFonts w:ascii="微软雅黑" w:hAnsi="微软雅黑" w:cs="微软雅黑" w:eastAsia="微软雅黑"/>
          <w:spacing w:val="-68"/>
        </w:rPr>
      </w:r>
      <w:r>
        <w:rPr>
          <w:rFonts w:ascii="微软雅黑" w:hAnsi="微软雅黑" w:cs="微软雅黑" w:eastAsia="微软雅黑"/>
        </w:rPr>
        <w:t>标进行必要修订。评价和修订过程应有利益相关方参与。</w:t>
      </w:r>
    </w:p>
    <w:p>
      <w:pPr>
        <w:spacing w:line="240" w:lineRule="auto" w:before="3"/>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pStyle w:val="BodyText"/>
        <w:spacing w:line="424" w:lineRule="auto" w:before="185"/>
        <w:ind w:right="359"/>
        <w:jc w:val="both"/>
      </w:pPr>
      <w:r>
        <w:rPr/>
        <w:t>③描述说明师范生、教师、教学管理人员和用人单位及其他利益相关方参与专业培 养目标评价和修订过程情况。</w:t>
      </w:r>
    </w:p>
    <w:p>
      <w:pPr>
        <w:spacing w:after="0" w:line="424" w:lineRule="auto"/>
        <w:jc w:val="both"/>
        <w:sectPr>
          <w:pgSz w:w="12240" w:h="15840"/>
          <w:pgMar w:header="773" w:footer="700" w:top="960" w:bottom="880" w:left="1680" w:right="144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right="0"/>
        <w:jc w:val="both"/>
        <w:rPr>
          <w:b w:val="0"/>
          <w:bCs w:val="0"/>
        </w:rPr>
      </w:pPr>
      <w:bookmarkStart w:name="第二部分：主要问题" w:id="184"/>
      <w:bookmarkEnd w:id="184"/>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0"/>
        <w:jc w:val="both"/>
        <w:rPr>
          <w:b w:val="0"/>
          <w:bCs w:val="0"/>
        </w:rPr>
      </w:pPr>
      <w:bookmarkStart w:name="第三部分：改进措施" w:id="185"/>
      <w:bookmarkEnd w:id="185"/>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2毕业要求" w:id="186"/>
      <w:bookmarkEnd w:id="186"/>
      <w:r>
        <w:rPr>
          <w:b w:val="0"/>
          <w:bCs w:val="0"/>
        </w:rPr>
      </w:r>
      <w:r>
        <w:rPr/>
        <w:t>标准 2</w:t>
      </w:r>
      <w:r>
        <w:rPr>
          <w:spacing w:val="-32"/>
        </w:rPr>
        <w:t> </w:t>
      </w:r>
      <w:r>
        <w:rPr/>
        <w:t>毕业要求</w:t>
      </w:r>
      <w:r>
        <w:rPr>
          <w:b w:val="0"/>
          <w:bCs w:val="0"/>
        </w:rPr>
      </w:r>
    </w:p>
    <w:p>
      <w:pPr>
        <w:spacing w:line="240" w:lineRule="auto" w:before="12"/>
        <w:rPr>
          <w:rFonts w:ascii="微软雅黑" w:hAnsi="微软雅黑" w:cs="微软雅黑" w:eastAsia="微软雅黑"/>
          <w:b/>
          <w:bCs/>
          <w:sz w:val="23"/>
          <w:szCs w:val="23"/>
        </w:rPr>
      </w:pPr>
    </w:p>
    <w:p>
      <w:pPr>
        <w:pStyle w:val="BodyText"/>
        <w:spacing w:line="237" w:lineRule="auto"/>
        <w:ind w:right="239" w:firstLine="480"/>
        <w:jc w:val="both"/>
        <w:rPr>
          <w:rFonts w:ascii="微软雅黑" w:hAnsi="微软雅黑" w:cs="微软雅黑" w:eastAsia="微软雅黑"/>
        </w:rPr>
      </w:pPr>
      <w:r>
        <w:rPr>
          <w:rFonts w:ascii="微软雅黑" w:hAnsi="微软雅黑" w:cs="微软雅黑" w:eastAsia="微软雅黑"/>
        </w:rPr>
        <w:t>专业应根据幼儿园教师专业标准，制定明确、公开的毕业要求。毕业要求能够 支撑培养目标，并在师范生培养全过程中分解落实。专业应通过评价证明毕业要求 的达成。专业制定的毕业要求应涵盖以下内容：</w:t>
      </w:r>
    </w:p>
    <w:p>
      <w:pPr>
        <w:pStyle w:val="BodyText"/>
        <w:spacing w:line="411"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践行师德</w:t>
      </w:r>
    </w:p>
    <w:p>
      <w:pPr>
        <w:pStyle w:val="BodyText"/>
        <w:spacing w:line="237" w:lineRule="auto" w:before="1"/>
        <w:ind w:right="235"/>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践行社会主义核心价值观，增进对中国特色社会主义的思想认同、 政治认同、理论认同和情感认同。贯彻党的教育方针，以立德树人为己任。遵守中 小学教师职业道德规范，具有依法执教意识，立志成为有理想信念、有道德情操、 有扎实学识、有仁爱之心的好老师。</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2.2</w:t>
      </w:r>
      <w:r>
        <w:rPr>
          <w:rFonts w:ascii="微软雅黑" w:hAnsi="微软雅黑" w:cs="微软雅黑" w:eastAsia="微软雅黑"/>
          <w:spacing w:val="4"/>
        </w:rPr>
        <w:t> </w:t>
      </w:r>
      <w:r>
        <w:rPr>
          <w:rFonts w:ascii="微软雅黑" w:hAnsi="微软雅黑" w:cs="微软雅黑" w:eastAsia="微软雅黑"/>
        </w:rPr>
        <w:t>[教育情怀]</w:t>
      </w:r>
      <w:r>
        <w:rPr>
          <w:rFonts w:ascii="微软雅黑" w:hAnsi="微软雅黑" w:cs="微软雅黑" w:eastAsia="微软雅黑"/>
          <w:spacing w:val="59"/>
        </w:rPr>
        <w:t> </w:t>
      </w:r>
      <w:r>
        <w:rPr>
          <w:rFonts w:ascii="微软雅黑" w:hAnsi="微软雅黑" w:cs="微软雅黑" w:eastAsia="微软雅黑"/>
        </w:rPr>
        <w:t>具有从教意愿，认同教师工作的意义和专业性，具有积极的情感、</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端正的态度、正确的价值观。具有人文底蕴和科学精神，尊重幼儿人格，富有爱心、</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责任心，工作细心、耐心，做幼儿健康成长的启蒙者和引路人。</w:t>
      </w:r>
    </w:p>
    <w:p>
      <w:pPr>
        <w:pStyle w:val="BodyText"/>
        <w:spacing w:line="411" w:lineRule="exact"/>
        <w:ind w:right="0"/>
        <w:jc w:val="both"/>
        <w:rPr>
          <w:rFonts w:ascii="微软雅黑" w:hAnsi="微软雅黑" w:cs="微软雅黑" w:eastAsia="微软雅黑"/>
        </w:rPr>
      </w:pPr>
      <w:r>
        <w:rPr>
          <w:rFonts w:ascii="Wingdings" w:hAnsi="Wingdings" w:cs="Wingdings" w:eastAsia="Wingdings"/>
        </w:rPr>
        <w:t></w:t>
      </w:r>
      <w:r>
        <w:rPr>
          <w:rFonts w:ascii="Wingdings" w:hAnsi="Wingdings" w:cs="Wingdings" w:eastAsia="Wingdings"/>
          <w:spacing w:val="-1"/>
        </w:rPr>
        <w:t></w:t>
      </w:r>
      <w:r>
        <w:rPr>
          <w:rFonts w:ascii="Times New Roman" w:hAnsi="Times New Roman" w:cs="Times New Roman" w:eastAsia="Times New Roman"/>
          <w:spacing w:val="-1"/>
        </w:rPr>
      </w:r>
      <w:r>
        <w:rPr>
          <w:rFonts w:ascii="微软雅黑" w:hAnsi="微软雅黑" w:cs="微软雅黑" w:eastAsia="微软雅黑"/>
        </w:rPr>
        <w:t>学会教学</w:t>
      </w:r>
    </w:p>
    <w:p>
      <w:pPr>
        <w:pStyle w:val="BodyText"/>
        <w:spacing w:line="237" w:lineRule="auto" w:before="1"/>
        <w:ind w:right="235"/>
        <w:jc w:val="both"/>
        <w:rPr>
          <w:rFonts w:ascii="微软雅黑" w:hAnsi="微软雅黑" w:cs="微软雅黑" w:eastAsia="微软雅黑"/>
        </w:rPr>
      </w:pPr>
      <w:r>
        <w:rPr>
          <w:rFonts w:ascii="微软雅黑" w:hAnsi="微软雅黑" w:cs="微软雅黑" w:eastAsia="微软雅黑"/>
        </w:rPr>
        <w:t>2.3 [保教知识] 具有一定的科学和人文素养，理解幼儿身心发展规律和学习特点， 了解相关学科基本知识，掌握幼儿园教育教学的基本方法和策略，注重知识的联系 和整合。</w:t>
      </w:r>
    </w:p>
    <w:p>
      <w:pPr>
        <w:pStyle w:val="BodyText"/>
        <w:spacing w:line="237" w:lineRule="auto" w:before="2"/>
        <w:ind w:right="230"/>
        <w:jc w:val="both"/>
        <w:rPr>
          <w:rFonts w:ascii="微软雅黑" w:hAnsi="微软雅黑" w:cs="微软雅黑" w:eastAsia="微软雅黑"/>
        </w:rPr>
      </w:pPr>
      <w:r>
        <w:rPr>
          <w:rFonts w:ascii="微软雅黑" w:hAnsi="微软雅黑" w:cs="微软雅黑" w:eastAsia="微软雅黑"/>
        </w:rPr>
        <w:t>2.4 [保教能力] </w:t>
      </w:r>
      <w:r>
        <w:rPr>
          <w:rFonts w:ascii="微软雅黑" w:hAnsi="微软雅黑" w:cs="微软雅黑" w:eastAsia="微软雅黑"/>
          <w:spacing w:val="-7"/>
        </w:rPr>
        <w:t>能够依据《幼儿园教育指导纲要（试行）》和《3-6</w:t>
      </w:r>
      <w:r>
        <w:rPr>
          <w:rFonts w:ascii="微软雅黑" w:hAnsi="微软雅黑" w:cs="微软雅黑" w:eastAsia="微软雅黑"/>
          <w:spacing w:val="-41"/>
        </w:rPr>
        <w:t> </w:t>
      </w:r>
      <w:r>
        <w:rPr>
          <w:rFonts w:ascii="微软雅黑" w:hAnsi="微软雅黑" w:cs="微软雅黑" w:eastAsia="微软雅黑"/>
        </w:rPr>
        <w:t>岁儿童学习与发</w:t>
      </w:r>
      <w:r>
        <w:rPr>
          <w:rFonts w:ascii="微软雅黑" w:hAnsi="微软雅黑" w:cs="微软雅黑" w:eastAsia="微软雅黑"/>
        </w:rPr>
        <w:t> </w:t>
      </w:r>
      <w:r>
        <w:rPr>
          <w:rFonts w:ascii="微软雅黑" w:hAnsi="微软雅黑" w:cs="微软雅黑" w:eastAsia="微软雅黑"/>
          <w:spacing w:val="-7"/>
        </w:rPr>
        <w:t>展指南》，根据幼儿身心发展规律和学习特点，运用幼儿保育与教育知识，科学规划</w:t>
      </w:r>
      <w:r>
        <w:rPr>
          <w:rFonts w:ascii="微软雅黑" w:hAnsi="微软雅黑" w:cs="微软雅黑" w:eastAsia="微软雅黑"/>
          <w:spacing w:val="-53"/>
        </w:rPr>
        <w:t> </w:t>
      </w:r>
      <w:r>
        <w:rPr>
          <w:rFonts w:ascii="微软雅黑" w:hAnsi="微软雅黑" w:cs="微软雅黑" w:eastAsia="微软雅黑"/>
          <w:spacing w:val="-53"/>
        </w:rPr>
      </w:r>
      <w:r>
        <w:rPr>
          <w:rFonts w:ascii="微软雅黑" w:hAnsi="微软雅黑" w:cs="微软雅黑" w:eastAsia="微软雅黑"/>
        </w:rPr>
        <w:t>一日生活、科学创设环境、合理组织活动。具有观察幼儿、与幼儿谈话并能记录与</w:t>
      </w:r>
    </w:p>
    <w:p>
      <w:pPr>
        <w:spacing w:after="0" w:line="237"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35"/>
        <w:jc w:val="left"/>
        <w:rPr>
          <w:rFonts w:ascii="微软雅黑" w:hAnsi="微软雅黑" w:cs="微软雅黑" w:eastAsia="微软雅黑"/>
        </w:rPr>
      </w:pPr>
      <w:r>
        <w:rPr>
          <w:rFonts w:ascii="微软雅黑" w:hAnsi="微软雅黑" w:cs="微软雅黑" w:eastAsia="微软雅黑"/>
        </w:rPr>
        <w:t>分析的能力；具有幼儿园活动评价能力。</w:t>
      </w:r>
    </w:p>
    <w:p>
      <w:pPr>
        <w:pStyle w:val="BodyText"/>
        <w:tabs>
          <w:tab w:pos="539" w:val="left" w:leader="none"/>
        </w:tabs>
        <w:spacing w:line="412"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学会育人</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2.5 [班级管理] 掌握幼儿园班级的特点，建立班级秩序与规则，合理规划利用时间 与空间，创设良好班级环境，充分利用各种教育资源，建立良好的同伴关系和师幼 关系，营造良好班级氛围。为人师表，发挥自身的榜样作用。</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2.6 [综合育人]</w:t>
      </w:r>
      <w:r>
        <w:rPr>
          <w:rFonts w:ascii="微软雅黑" w:hAnsi="微软雅黑" w:cs="微软雅黑" w:eastAsia="微软雅黑"/>
          <w:spacing w:val="52"/>
        </w:rPr>
        <w:t> </w:t>
      </w:r>
      <w:r>
        <w:rPr>
          <w:rFonts w:ascii="微软雅黑" w:hAnsi="微软雅黑" w:cs="微软雅黑" w:eastAsia="微软雅黑"/>
        </w:rPr>
        <w:t>了解幼儿社会性—情感发展的特点和规律，注重培育幼儿良好意志</w:t>
      </w:r>
      <w:r>
        <w:rPr>
          <w:rFonts w:ascii="微软雅黑" w:hAnsi="微软雅黑" w:cs="微软雅黑" w:eastAsia="微软雅黑"/>
          <w:spacing w:val="-69"/>
        </w:rPr>
        <w:t> </w:t>
      </w:r>
      <w:r>
        <w:rPr>
          <w:rFonts w:ascii="微软雅黑" w:hAnsi="微软雅黑" w:cs="微软雅黑" w:eastAsia="微软雅黑"/>
          <w:spacing w:val="-69"/>
        </w:rPr>
      </w:r>
      <w:r>
        <w:rPr>
          <w:rFonts w:ascii="微软雅黑" w:hAnsi="微软雅黑" w:cs="微软雅黑" w:eastAsia="微软雅黑"/>
          <w:spacing w:val="-4"/>
        </w:rPr>
        <w:t>品质和行为习惯。理解环境育人价值，了解园所文化和一日生活对幼儿发展的价值，</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充分利用多种教育契机，对幼儿进行教育。综合利用幼儿园、家庭和社区各种资源 全面育人。</w:t>
      </w:r>
    </w:p>
    <w:p>
      <w:pPr>
        <w:pStyle w:val="BodyText"/>
        <w:tabs>
          <w:tab w:pos="539" w:val="left" w:leader="none"/>
        </w:tabs>
        <w:spacing w:line="411" w:lineRule="exact"/>
        <w:ind w:right="35"/>
        <w:jc w:val="left"/>
        <w:rPr>
          <w:rFonts w:ascii="微软雅黑" w:hAnsi="微软雅黑" w:cs="微软雅黑" w:eastAsia="微软雅黑"/>
        </w:rPr>
      </w:pPr>
      <w:r>
        <w:rPr>
          <w:rFonts w:ascii="Wingdings" w:hAnsi="Wingdings" w:cs="Wingdings" w:eastAsia="Wingdings"/>
          <w:w w:val="95"/>
        </w:rPr>
        <w:t></w:t>
      </w:r>
      <w:r>
        <w:rPr>
          <w:rFonts w:ascii="Times New Roman" w:hAnsi="Times New Roman" w:cs="Times New Roman" w:eastAsia="Times New Roman"/>
          <w:w w:val="95"/>
        </w:rPr>
        <w:tab/>
      </w:r>
      <w:r>
        <w:rPr>
          <w:rFonts w:ascii="微软雅黑" w:hAnsi="微软雅黑" w:cs="微软雅黑" w:eastAsia="微软雅黑"/>
        </w:rPr>
        <w:t>学会发展</w:t>
      </w:r>
    </w:p>
    <w:p>
      <w:pPr>
        <w:pStyle w:val="BodyText"/>
        <w:spacing w:line="237" w:lineRule="auto" w:before="1"/>
        <w:ind w:right="35"/>
        <w:jc w:val="left"/>
        <w:rPr>
          <w:rFonts w:ascii="微软雅黑" w:hAnsi="微软雅黑" w:cs="微软雅黑" w:eastAsia="微软雅黑"/>
        </w:rPr>
      </w:pPr>
      <w:r>
        <w:rPr>
          <w:rFonts w:ascii="微软雅黑" w:hAnsi="微软雅黑" w:cs="微软雅黑" w:eastAsia="微软雅黑"/>
        </w:rPr>
        <w:t>2.7 [学会反思]</w:t>
      </w:r>
      <w:r>
        <w:rPr>
          <w:rFonts w:ascii="微软雅黑" w:hAnsi="微软雅黑" w:cs="微软雅黑" w:eastAsia="微软雅黑"/>
          <w:spacing w:val="46"/>
        </w:rPr>
        <w:t> </w:t>
      </w:r>
      <w:r>
        <w:rPr>
          <w:rFonts w:ascii="微软雅黑" w:hAnsi="微软雅黑" w:cs="微软雅黑" w:eastAsia="微软雅黑"/>
          <w:spacing w:val="-3"/>
        </w:rPr>
        <w:t>具有终身学习与专业发展意识。了解国内外学前教育改革发展动态，</w:t>
      </w:r>
      <w:r>
        <w:rPr>
          <w:rFonts w:ascii="微软雅黑" w:hAnsi="微软雅黑" w:cs="微软雅黑" w:eastAsia="微软雅黑"/>
        </w:rPr>
        <w:t> 能够适应时代和教育发展需求，进行学习和职业生涯规划。初步掌握反思方法和技 能，具有一定创新意识，运用批判性思维方法，学会分析和解决问题。</w:t>
      </w:r>
    </w:p>
    <w:p>
      <w:pPr>
        <w:pStyle w:val="BodyText"/>
        <w:spacing w:line="410" w:lineRule="exact" w:before="22"/>
        <w:ind w:right="35"/>
        <w:jc w:val="left"/>
        <w:rPr>
          <w:rFonts w:ascii="微软雅黑" w:hAnsi="微软雅黑" w:cs="微软雅黑" w:eastAsia="微软雅黑"/>
        </w:rPr>
      </w:pPr>
      <w:r>
        <w:rPr>
          <w:rFonts w:ascii="微软雅黑" w:hAnsi="微软雅黑" w:cs="微软雅黑" w:eastAsia="微软雅黑"/>
        </w:rPr>
        <w:t>2.8 [沟通合作] 理解学习共同体的作用，具有团队协作精神，掌握沟通合作技能， </w:t>
      </w:r>
      <w:r>
        <w:rPr>
          <w:rFonts w:ascii="微软雅黑" w:hAnsi="微软雅黑" w:cs="微软雅黑" w:eastAsia="微软雅黑"/>
          <w:spacing w:val="-8"/>
        </w:rPr>
        <w:t>具有小组互助和合作学习体验。。</w:t>
      </w:r>
    </w:p>
    <w:p>
      <w:pPr>
        <w:spacing w:line="240" w:lineRule="auto" w:before="0"/>
        <w:rPr>
          <w:rFonts w:ascii="微软雅黑" w:hAnsi="微软雅黑" w:cs="微软雅黑" w:eastAsia="微软雅黑"/>
          <w:sz w:val="24"/>
          <w:szCs w:val="24"/>
        </w:rPr>
      </w:pPr>
    </w:p>
    <w:p>
      <w:pPr>
        <w:spacing w:line="240" w:lineRule="auto" w:before="1"/>
        <w:rPr>
          <w:rFonts w:ascii="微软雅黑" w:hAnsi="微软雅黑" w:cs="微软雅黑" w:eastAsia="微软雅黑"/>
          <w:sz w:val="17"/>
          <w:szCs w:val="17"/>
        </w:rPr>
      </w:pPr>
    </w:p>
    <w:p>
      <w:pPr>
        <w:pStyle w:val="Heading5"/>
        <w:spacing w:line="240" w:lineRule="auto"/>
        <w:ind w:right="35"/>
        <w:jc w:val="left"/>
        <w:rPr>
          <w:b w:val="0"/>
          <w:bCs w:val="0"/>
        </w:rPr>
      </w:pPr>
      <w:bookmarkStart w:name="第一部分：达标情况" w:id="187"/>
      <w:bookmarkEnd w:id="187"/>
      <w:r>
        <w:rPr>
          <w:b w:val="0"/>
          <w:bCs w:val="0"/>
        </w:rPr>
      </w:r>
      <w:r>
        <w:rPr/>
        <w:t>第一部分：达标情况</w:t>
      </w:r>
      <w:r>
        <w:rPr>
          <w:b w:val="0"/>
          <w:bCs w:val="0"/>
        </w:rPr>
      </w:r>
    </w:p>
    <w:p>
      <w:pPr>
        <w:pStyle w:val="BodyText"/>
        <w:spacing w:line="312" w:lineRule="exact" w:before="148"/>
        <w:ind w:right="23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7"/>
        <w:ind w:left="120" w:right="35" w:firstLine="0"/>
        <w:jc w:val="left"/>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3"/>
        <w:rPr>
          <w:rFonts w:ascii="华文楷体" w:hAnsi="华文楷体" w:cs="华文楷体" w:eastAsia="华文楷体"/>
          <w:sz w:val="16"/>
          <w:szCs w:val="16"/>
        </w:rPr>
      </w:pPr>
    </w:p>
    <w:p>
      <w:pPr>
        <w:pStyle w:val="BodyText"/>
        <w:spacing w:line="240" w:lineRule="auto"/>
        <w:ind w:right="35"/>
        <w:jc w:val="left"/>
      </w:pPr>
      <w:r>
        <w:rPr/>
        <w:t>②列表说明专业毕业要求对专业培养目标的对应支撑情况并进行分析。</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8"/>
          <w:szCs w:val="28"/>
        </w:rPr>
      </w:pPr>
    </w:p>
    <w:p>
      <w:pPr>
        <w:pStyle w:val="BodyText"/>
        <w:spacing w:line="424" w:lineRule="auto"/>
        <w:ind w:right="35"/>
        <w:jc w:val="left"/>
      </w:pPr>
      <w:r>
        <w:rPr/>
        <w:t>③列表说明专业毕业要求对认证标准“毕业要求”10</w:t>
      </w:r>
      <w:r>
        <w:rPr>
          <w:spacing w:val="-18"/>
        </w:rPr>
        <w:t> </w:t>
      </w:r>
      <w:r>
        <w:rPr>
          <w:spacing w:val="-3"/>
        </w:rPr>
        <w:t>条（2.1-2.10）的覆盖情况并进</w:t>
      </w:r>
      <w:r>
        <w:rPr/>
        <w:t> </w:t>
      </w:r>
      <w:r>
        <w:rPr>
          <w:spacing w:val="-5"/>
        </w:rPr>
        <w:t>行分析（专业不宜照搬这 </w:t>
      </w:r>
      <w:r>
        <w:rPr/>
        <w:t>10</w:t>
      </w:r>
      <w:r>
        <w:rPr>
          <w:spacing w:val="26"/>
        </w:rPr>
        <w:t> </w:t>
      </w:r>
      <w:r>
        <w:rPr>
          <w:spacing w:val="-3"/>
        </w:rPr>
        <w:t>条要求，而应结合本专业培养目标制定出自己的毕业要</w:t>
      </w:r>
    </w:p>
    <w:p>
      <w:pPr>
        <w:spacing w:after="0" w:line="424" w:lineRule="auto"/>
        <w:jc w:val="left"/>
        <w:sectPr>
          <w:headerReference w:type="default" r:id="rId78"/>
          <w:footerReference w:type="default" r:id="rId79"/>
          <w:pgSz w:w="12240" w:h="15840"/>
          <w:pgMar w:header="0" w:footer="700" w:top="880" w:bottom="880" w:left="1680" w:right="1560"/>
          <w:pgNumType w:start="4"/>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t>求，并在广度、深度和程度上完全覆盖认证标准 10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1987" w:right="35"/>
        <w:jc w:val="left"/>
      </w:pPr>
      <w:r>
        <w:rPr/>
        <w:t>专业毕业要求与认证标准毕业要求 10 条对照表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pStyle w:val="BodyText"/>
        <w:spacing w:line="240" w:lineRule="auto" w:before="65"/>
        <w:ind w:left="2640" w:right="35"/>
        <w:jc w:val="left"/>
      </w:pPr>
      <w:r>
        <w:rPr/>
        <w:t>最近一次毕业要求达成评价结果表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before="1"/>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0"/>
        <w:rPr>
          <w:rFonts w:ascii="华文楷体" w:hAnsi="华文楷体" w:cs="华文楷体" w:eastAsia="华文楷体"/>
          <w:sz w:val="19"/>
          <w:szCs w:val="19"/>
        </w:rPr>
      </w:pPr>
    </w:p>
    <w:p>
      <w:pPr>
        <w:pStyle w:val="Heading5"/>
        <w:spacing w:line="355" w:lineRule="exact"/>
        <w:ind w:right="35"/>
        <w:jc w:val="left"/>
        <w:rPr>
          <w:b w:val="0"/>
          <w:bCs w:val="0"/>
        </w:rPr>
      </w:pPr>
      <w:bookmarkStart w:name="第二部分：主要问题" w:id="188"/>
      <w:bookmarkEnd w:id="188"/>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after="0" w:line="312" w:lineRule="exact"/>
        <w:jc w:val="left"/>
        <w:rPr>
          <w:rFonts w:ascii="楷体" w:hAnsi="楷体" w:cs="楷体" w:eastAsia="楷体"/>
        </w:rPr>
        <w:sectPr>
          <w:headerReference w:type="default" r:id="rId80"/>
          <w:pgSz w:w="12240" w:h="15840"/>
          <w:pgMar w:header="773" w:footer="700" w:top="960" w:bottom="880" w:left="1680" w:right="1560"/>
        </w:sect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24"/>
          <w:szCs w:val="24"/>
        </w:rPr>
      </w:pPr>
    </w:p>
    <w:p>
      <w:pPr>
        <w:pStyle w:val="Heading5"/>
        <w:spacing w:line="355" w:lineRule="exact"/>
        <w:ind w:left="220" w:right="0"/>
        <w:jc w:val="both"/>
        <w:rPr>
          <w:b w:val="0"/>
          <w:bCs w:val="0"/>
        </w:rPr>
      </w:pPr>
      <w:bookmarkStart w:name="第三部分：改进措施" w:id="189"/>
      <w:bookmarkEnd w:id="189"/>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left="220" w:right="2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left="220" w:right="0"/>
        <w:jc w:val="both"/>
        <w:rPr>
          <w:b w:val="0"/>
          <w:bCs w:val="0"/>
        </w:rPr>
      </w:pPr>
      <w:bookmarkStart w:name="标准3课程与教学" w:id="190"/>
      <w:bookmarkEnd w:id="190"/>
      <w:r>
        <w:rPr>
          <w:b w:val="0"/>
          <w:bCs w:val="0"/>
        </w:rPr>
      </w:r>
      <w:r>
        <w:rPr/>
        <w:t>标准 3</w:t>
      </w:r>
      <w:r>
        <w:rPr>
          <w:spacing w:val="-32"/>
        </w:rPr>
        <w:t> </w:t>
      </w:r>
      <w:r>
        <w:rPr/>
        <w:t>课程与教学</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left="220" w:right="0"/>
        <w:jc w:val="both"/>
        <w:rPr>
          <w:b w:val="0"/>
          <w:bCs w:val="0"/>
        </w:rPr>
      </w:pPr>
      <w:bookmarkStart w:name="第一部分：达标情况" w:id="191"/>
      <w:bookmarkEnd w:id="191"/>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220" w:right="2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left="220" w:right="215"/>
        <w:jc w:val="both"/>
        <w:rPr>
          <w:rFonts w:ascii="微软雅黑" w:hAnsi="微软雅黑" w:cs="微软雅黑" w:eastAsia="微软雅黑"/>
        </w:rPr>
      </w:pPr>
      <w:r>
        <w:rPr>
          <w:rFonts w:ascii="微软雅黑" w:hAnsi="微软雅黑" w:cs="微软雅黑" w:eastAsia="微软雅黑"/>
        </w:rPr>
        <w:t>3.1 [课程设置] 课程设置应符合幼儿园教师专业标准、教师教育课程标准和专业教 学相关标准，能够支撑毕业要求达成。</w:t>
      </w:r>
    </w:p>
    <w:p>
      <w:pPr>
        <w:spacing w:line="240" w:lineRule="auto" w:before="4"/>
        <w:rPr>
          <w:rFonts w:ascii="微软雅黑" w:hAnsi="微软雅黑" w:cs="微软雅黑" w:eastAsia="微软雅黑"/>
          <w:sz w:val="14"/>
          <w:szCs w:val="14"/>
        </w:rPr>
      </w:pPr>
    </w:p>
    <w:p>
      <w:pPr>
        <w:pStyle w:val="BodyText"/>
        <w:spacing w:line="424" w:lineRule="auto"/>
        <w:ind w:left="220" w:right="219"/>
        <w:jc w:val="both"/>
        <w:rPr>
          <w:rFonts w:ascii="华文楷体" w:hAnsi="华文楷体" w:cs="华文楷体" w:eastAsia="华文楷体"/>
        </w:rPr>
      </w:pPr>
      <w:r>
        <w:rPr/>
        <w:t>①</w:t>
      </w:r>
      <w:r>
        <w:rPr>
          <w:spacing w:val="19"/>
        </w:rPr>
        <w:t> </w:t>
      </w:r>
      <w:r>
        <w:rPr>
          <w:spacing w:val="-4"/>
        </w:rPr>
        <w:t>描述说明现行培养方案中课程体系整体架构与特点，学分认定的规则。展示现行</w:t>
      </w:r>
      <w:r>
        <w:rPr/>
        <w:t> 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pStyle w:val="BodyText"/>
        <w:spacing w:line="424" w:lineRule="auto" w:before="185"/>
        <w:ind w:left="220" w:right="219"/>
        <w:jc w:val="both"/>
      </w:pPr>
      <w:r>
        <w:rPr/>
        <w:pict>
          <v:shape style="position:absolute;margin-left:84.360001pt;margin-top:66.877495pt;width:443.55pt;height:159pt;mso-position-horizontal-relative:page;mso-position-vertical-relative:paragraph;z-index:152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after="0" w:line="242" w:lineRule="auto"/>
        <w:jc w:val="left"/>
        <w:rPr>
          <w:rFonts w:ascii="华文楷体" w:hAnsi="华文楷体" w:cs="华文楷体" w:eastAsia="华文楷体"/>
          <w:sz w:val="21"/>
          <w:szCs w:val="21"/>
        </w:rPr>
        <w:sectPr>
          <w:pgSz w:w="12240" w:h="15840"/>
          <w:pgMar w:header="773" w:footer="700" w:top="960" w:bottom="880" w:left="1580" w:right="15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③列表说明课程体系设置符合幼儿园教师专业标准、教师教育课程标准和专业教学 相关标准要求，跟踪对接国际学前教育改革新趋势、新动向情况，及用于支撑专业 培养目标特色和优势的课程情况并进行分析。</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3.2 [课程结构] 课程结构体现通识教育和专业教育的有机结合；理论课程与实践课 程、必修课与选修课设置合理。各类课程学分比例恰当，通识教育课程中的人文社 会与科学素养课程学分不低于总学分的</w:t>
      </w:r>
      <w:r>
        <w:rPr>
          <w:rFonts w:ascii="微软雅黑" w:hAnsi="微软雅黑" w:cs="微软雅黑" w:eastAsia="微软雅黑"/>
          <w:spacing w:val="-10"/>
        </w:rPr>
        <w:t> </w:t>
      </w:r>
      <w:r>
        <w:rPr>
          <w:rFonts w:ascii="微软雅黑" w:hAnsi="微软雅黑" w:cs="微软雅黑" w:eastAsia="微软雅黑"/>
          <w:spacing w:val="-4"/>
        </w:rPr>
        <w:t>10%，支撑幼儿园各领域教育的相关课程学</w:t>
      </w:r>
      <w:r>
        <w:rPr>
          <w:rFonts w:ascii="微软雅黑" w:hAnsi="微软雅黑" w:cs="微软雅黑" w:eastAsia="微软雅黑"/>
        </w:rPr>
        <w:t> 分不低于总学分的</w:t>
      </w:r>
      <w:r>
        <w:rPr>
          <w:rFonts w:ascii="微软雅黑" w:hAnsi="微软雅黑" w:cs="微软雅黑" w:eastAsia="微软雅黑"/>
          <w:spacing w:val="-16"/>
        </w:rPr>
        <w:t> </w:t>
      </w:r>
      <w:r>
        <w:rPr>
          <w:rFonts w:ascii="微软雅黑" w:hAnsi="微软雅黑" w:cs="微软雅黑" w:eastAsia="微软雅黑"/>
        </w:rPr>
        <w:t>20%。教师教育课程达到教师教育课程标准规定的学分要求。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②描述说明各类课程设置与学分比例达到认证标准并能够满足“一践行三学会”养 成教育要求。</w:t>
      </w:r>
    </w:p>
    <w:p>
      <w:pPr>
        <w:pStyle w:val="BodyText"/>
        <w:spacing w:line="237" w:lineRule="auto" w:before="78"/>
        <w:ind w:right="115"/>
        <w:jc w:val="both"/>
        <w:rPr>
          <w:rFonts w:ascii="微软雅黑" w:hAnsi="微软雅黑" w:cs="微软雅黑" w:eastAsia="微软雅黑"/>
        </w:rPr>
      </w:pPr>
      <w:r>
        <w:rPr>
          <w:rFonts w:ascii="微软雅黑" w:hAnsi="微软雅黑" w:cs="微软雅黑" w:eastAsia="微软雅黑"/>
        </w:rPr>
        <w:t>3.3 [课程内容] 课程内容体现学前教育的专业性，注重基础性、科学性、综合性和 实践性，把社会主义核心价值观、师德教育有机融入课程教学中。选用优秀教材， 吸收学科前沿知识，引入幼儿园课程改革和幼儿发展与教育研究最新成果、幼儿园 优秀教育教学案例，并能够结合师范生学习状况及时更新、完善课程内容。</w:t>
      </w:r>
    </w:p>
    <w:p>
      <w:pPr>
        <w:spacing w:line="240" w:lineRule="auto" w:before="8"/>
        <w:rPr>
          <w:rFonts w:ascii="微软雅黑" w:hAnsi="微软雅黑" w:cs="微软雅黑" w:eastAsia="微软雅黑"/>
          <w:sz w:val="17"/>
          <w:szCs w:val="17"/>
        </w:rPr>
      </w:pPr>
    </w:p>
    <w:p>
      <w:pPr>
        <w:pStyle w:val="BodyText"/>
        <w:spacing w:line="424" w:lineRule="auto"/>
        <w:ind w:right="119"/>
        <w:jc w:val="both"/>
      </w:pPr>
      <w:r>
        <w:rPr/>
        <w:t>①描述说明课程内容体现学前教育专业性，注重基础性、科学性、综合性和实践性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③描述说明课程内容引入幼儿园课程改革和幼儿发展与教育研究最新成果、优秀幼 儿园教育教学案例的情况，并举例说明。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t>④描述说明课程内容更新、动态调整机制及执行情况。</w:t>
      </w:r>
    </w:p>
    <w:p>
      <w:pPr>
        <w:spacing w:after="0" w:line="240"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3.4 [课程实施] 重视课堂教学在培养过程中的基础作用。依据毕业要求制定课程目 标和教学大纲，教学内容、教学方法、考核内容与方式应支持课程目标的实现。能 够恰当运用案例教学、探究教学、现场教学等方式，合理应用信息技术，提高师范 生学习效果。课堂教学、课外指导和课外学习的时间分配合理，技能训练课程实行 小班教学，养成师范生自主学习能力和“三字一话”等从教基本功。</w:t>
      </w:r>
    </w:p>
    <w:p>
      <w:pPr>
        <w:spacing w:line="240" w:lineRule="auto" w:before="5"/>
        <w:rPr>
          <w:rFonts w:ascii="微软雅黑" w:hAnsi="微软雅黑" w:cs="微软雅黑" w:eastAsia="微软雅黑"/>
          <w:sz w:val="17"/>
          <w:szCs w:val="17"/>
        </w:rPr>
      </w:pPr>
    </w:p>
    <w:p>
      <w:pPr>
        <w:pStyle w:val="BodyText"/>
        <w:spacing w:line="240" w:lineRule="auto"/>
        <w:ind w:right="0"/>
        <w:jc w:val="both"/>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119"/>
        <w:jc w:val="both"/>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③描述说明专业注重师范生的主体参与和实践体验，以课堂教学、课外指导提升自 主学习能力，应用信息技术推进教与学的改革情况。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④描述说明教师基本技能、幼儿园教师从教基本功训练以及师德养成教育情况与效 果。</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rFonts w:ascii="楷体" w:hAnsi="楷体" w:cs="楷体" w:eastAsia="楷体"/>
        </w:rPr>
        <w:t>⑤</w:t>
      </w:r>
      <w:r>
        <w:rPr/>
        <w:t>描述说明校园文化活动对师范生从教信仰、专业素养与创新能力培养的作用。</w:t>
      </w:r>
    </w:p>
    <w:p>
      <w:pPr>
        <w:spacing w:line="240" w:lineRule="auto" w:before="3"/>
        <w:rPr>
          <w:rFonts w:ascii="华文楷体" w:hAnsi="华文楷体" w:cs="华文楷体" w:eastAsia="华文楷体"/>
          <w:sz w:val="19"/>
          <w:szCs w:val="19"/>
        </w:rPr>
      </w:pPr>
    </w:p>
    <w:p>
      <w:pPr>
        <w:pStyle w:val="BodyText"/>
        <w:spacing w:line="240" w:lineRule="auto"/>
        <w:ind w:right="115"/>
        <w:jc w:val="both"/>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5"/>
        <w:rPr>
          <w:rFonts w:ascii="微软雅黑" w:hAnsi="微软雅黑" w:cs="微软雅黑" w:eastAsia="微软雅黑"/>
          <w:sz w:val="26"/>
          <w:szCs w:val="26"/>
        </w:rPr>
      </w:pPr>
    </w:p>
    <w:p>
      <w:pPr>
        <w:pStyle w:val="BodyText"/>
        <w:spacing w:line="424" w:lineRule="auto"/>
        <w:ind w:right="119"/>
        <w:jc w:val="both"/>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119"/>
        <w:jc w:val="both"/>
      </w:pPr>
      <w:r>
        <w:rPr/>
        <w:t>②列表说明最近一次课程体系合理性评价及课程目标达成评价情况并评价结果进行 分析。</w:t>
      </w:r>
    </w:p>
    <w:p>
      <w:pPr>
        <w:pStyle w:val="BodyText"/>
        <w:spacing w:line="240" w:lineRule="auto" w:before="65"/>
        <w:ind w:right="0"/>
        <w:jc w:val="both"/>
      </w:pPr>
      <w:r>
        <w:rPr/>
        <w:t>③描述说明专业最近一次课程体系及课程目标根据评价结果进行修订情况。</w:t>
      </w:r>
    </w:p>
    <w:p>
      <w:pPr>
        <w:spacing w:after="0" w:line="240" w:lineRule="auto"/>
        <w:jc w:val="both"/>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239"/>
        <w:jc w:val="both"/>
      </w:pPr>
      <w:r>
        <w:rPr/>
        <w:t>④描述说明用人单位、师范毕业生等利益相关方参与评价与修订的过程、方式和发 挥的作用。</w:t>
      </w:r>
    </w:p>
    <w:p>
      <w:pPr>
        <w:pStyle w:val="Heading5"/>
        <w:spacing w:line="240" w:lineRule="auto" w:before="180"/>
        <w:ind w:right="0"/>
        <w:jc w:val="both"/>
        <w:rPr>
          <w:b w:val="0"/>
          <w:bCs w:val="0"/>
        </w:rPr>
      </w:pPr>
      <w:bookmarkStart w:name="第二部分：主要问题" w:id="192"/>
      <w:bookmarkEnd w:id="192"/>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193"/>
      <w:bookmarkEnd w:id="193"/>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23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4合作与实践" w:id="194"/>
      <w:bookmarkEnd w:id="194"/>
      <w:r>
        <w:rPr>
          <w:b w:val="0"/>
          <w:bCs w:val="0"/>
        </w:rPr>
      </w:r>
      <w:r>
        <w:rPr/>
        <w:t>标准 4</w:t>
      </w:r>
      <w:r>
        <w:rPr>
          <w:spacing w:val="-32"/>
        </w:rPr>
        <w:t> </w:t>
      </w:r>
      <w:r>
        <w:rPr/>
        <w:t>合作与实践</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195"/>
      <w:bookmarkEnd w:id="195"/>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235"/>
        <w:jc w:val="both"/>
        <w:rPr>
          <w:rFonts w:ascii="微软雅黑" w:hAnsi="微软雅黑" w:cs="微软雅黑" w:eastAsia="微软雅黑"/>
        </w:rPr>
      </w:pPr>
      <w:r>
        <w:rPr>
          <w:rFonts w:ascii="微软雅黑" w:hAnsi="微软雅黑" w:cs="微软雅黑" w:eastAsia="微软雅黑"/>
        </w:rPr>
        <w:t>4.1 [协同育人] 与地方教育行政部门和幼儿园建立权责明晰、稳定协调、合作共赢 的“三位一体”协同培养机制，基本形成教师培养、培训、研究和服务一体化的合 作共同体。</w:t>
      </w:r>
    </w:p>
    <w:p>
      <w:pPr>
        <w:pStyle w:val="BodyText"/>
        <w:spacing w:line="240" w:lineRule="auto" w:before="145"/>
        <w:ind w:right="0"/>
        <w:jc w:val="both"/>
      </w:pPr>
      <w:r>
        <w:rPr/>
        <w:t>①描述学校与地方教育行政部门和幼儿园建立“三位一体”协同培养机制情况。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②描述学校与幼儿园合作搭建教师专业发展平台，形成幼儿园教师培养、培训、研 究和服务一体化的合作共同体情况。</w:t>
      </w:r>
    </w:p>
    <w:p>
      <w:pPr>
        <w:pStyle w:val="BodyText"/>
        <w:spacing w:line="240" w:lineRule="auto" w:before="65"/>
        <w:ind w:right="0"/>
        <w:jc w:val="both"/>
      </w:pPr>
      <w:r>
        <w:rPr/>
        <w:t>③描述“三位一体”协同育人工作成效。</w:t>
      </w:r>
    </w:p>
    <w:p>
      <w:pPr>
        <w:pStyle w:val="BodyText"/>
        <w:spacing w:line="240" w:lineRule="auto" w:before="126"/>
        <w:ind w:right="0"/>
        <w:jc w:val="both"/>
        <w:rPr>
          <w:rFonts w:ascii="微软雅黑" w:hAnsi="微软雅黑" w:cs="微软雅黑" w:eastAsia="微软雅黑"/>
        </w:rPr>
      </w:pPr>
      <w:r>
        <w:rPr>
          <w:rFonts w:ascii="微软雅黑" w:hAnsi="微软雅黑" w:cs="微软雅黑" w:eastAsia="微软雅黑"/>
        </w:rPr>
        <w:t>4.2 [实践基地]</w:t>
      </w:r>
      <w:r>
        <w:rPr>
          <w:rFonts w:ascii="微软雅黑" w:hAnsi="微软雅黑" w:cs="微软雅黑" w:eastAsia="微软雅黑"/>
          <w:spacing w:val="47"/>
        </w:rPr>
        <w:t> </w:t>
      </w:r>
      <w:r>
        <w:rPr>
          <w:rFonts w:ascii="微软雅黑" w:hAnsi="微软雅黑" w:cs="微软雅黑" w:eastAsia="微软雅黑"/>
          <w:spacing w:val="-3"/>
        </w:rPr>
        <w:t>教育实践基地相对稳定，能够提供合适的教育实践环境和实习指导，</w:t>
      </w:r>
    </w:p>
    <w:p>
      <w:pPr>
        <w:spacing w:after="0" w:line="240" w:lineRule="auto"/>
        <w:jc w:val="both"/>
        <w:rPr>
          <w:rFonts w:ascii="微软雅黑" w:hAnsi="微软雅黑" w:cs="微软雅黑" w:eastAsia="微软雅黑"/>
        </w:rPr>
        <w:sectPr>
          <w:pgSz w:w="12240" w:h="15840"/>
          <w:pgMar w:header="773" w:footer="700" w:top="960" w:bottom="880" w:left="1680" w:right="156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5" w:lineRule="exact"/>
        <w:ind w:right="0"/>
        <w:jc w:val="both"/>
        <w:rPr>
          <w:rFonts w:ascii="微软雅黑" w:hAnsi="微软雅黑" w:cs="微软雅黑" w:eastAsia="微软雅黑"/>
        </w:rPr>
      </w:pPr>
      <w:r>
        <w:rPr>
          <w:rFonts w:ascii="微软雅黑" w:hAnsi="微软雅黑" w:cs="微软雅黑" w:eastAsia="微软雅黑"/>
        </w:rPr>
        <w:t>满足师范生教育实践需求。每 20 个实习生不少于 1</w:t>
      </w:r>
      <w:r>
        <w:rPr>
          <w:rFonts w:ascii="微软雅黑" w:hAnsi="微软雅黑" w:cs="微软雅黑" w:eastAsia="微软雅黑"/>
          <w:spacing w:val="-48"/>
        </w:rPr>
        <w:t> </w:t>
      </w:r>
      <w:r>
        <w:rPr>
          <w:rFonts w:ascii="微软雅黑" w:hAnsi="微软雅黑" w:cs="微软雅黑" w:eastAsia="微软雅黑"/>
        </w:rPr>
        <w:t>个教育实践基地。</w:t>
      </w:r>
    </w:p>
    <w:p>
      <w:pPr>
        <w:pStyle w:val="BodyText"/>
        <w:spacing w:line="424" w:lineRule="auto" w:before="142"/>
        <w:ind w:right="119"/>
        <w:jc w:val="both"/>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0"/>
        <w:jc w:val="both"/>
      </w:pPr>
      <w:r>
        <w:rPr/>
        <w:t>②描述学校利用实践基地开展专业培养的相关制度和举措及其成效。</w:t>
      </w:r>
    </w:p>
    <w:p>
      <w:pPr>
        <w:pStyle w:val="BodyText"/>
        <w:spacing w:line="237" w:lineRule="auto" w:before="129"/>
        <w:ind w:right="115"/>
        <w:jc w:val="both"/>
        <w:rPr>
          <w:rFonts w:ascii="微软雅黑" w:hAnsi="微软雅黑" w:cs="微软雅黑" w:eastAsia="微软雅黑"/>
        </w:rPr>
      </w:pPr>
      <w:r>
        <w:rPr>
          <w:rFonts w:ascii="微软雅黑" w:hAnsi="微软雅黑" w:cs="微软雅黑" w:eastAsia="微软雅黑"/>
        </w:rPr>
        <w:t>4.3 [实践教学] 实践教学体系完整，专业实践和教育实践有机结合。教育见习、教 育实习、教育研习贯通，涵盖师德体验、保教实践、班级管理实践和教研实践等， 并与其他教育环节有机衔接。教育实践时间累计不少于一学期。学校集中组织教育 实习，保证师范生实习期间的上课时数。</w:t>
      </w:r>
    </w:p>
    <w:p>
      <w:pPr>
        <w:pStyle w:val="BodyText"/>
        <w:spacing w:line="240" w:lineRule="auto" w:before="143"/>
        <w:ind w:right="0"/>
        <w:jc w:val="both"/>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②描述教育实习工作规范制定及落实情况，包括课程标准、实施计划、实习手册， 评价标准等。</w:t>
      </w:r>
    </w:p>
    <w:p>
      <w:pPr>
        <w:pStyle w:val="BodyText"/>
        <w:spacing w:line="424" w:lineRule="auto" w:before="65"/>
        <w:ind w:right="119"/>
        <w:jc w:val="both"/>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4.4 [导师队伍] 实行高校教师与优秀幼儿园教师共同指导教育实践的“双导师”制 </w:t>
      </w:r>
      <w:r>
        <w:rPr>
          <w:rFonts w:ascii="微软雅黑" w:hAnsi="微软雅黑" w:cs="微软雅黑" w:eastAsia="微软雅黑"/>
          <w:spacing w:val="-7"/>
        </w:rPr>
        <w:t>度。有遴选、培训、评价和支持教育实践指导教师的制度与措施。“双导师”数量充</w:t>
      </w:r>
      <w:r>
        <w:rPr>
          <w:rFonts w:ascii="微软雅黑" w:hAnsi="微软雅黑" w:cs="微软雅黑" w:eastAsia="微软雅黑"/>
          <w:spacing w:val="-52"/>
        </w:rPr>
        <w:t> </w:t>
      </w:r>
      <w:r>
        <w:rPr>
          <w:rFonts w:ascii="微软雅黑" w:hAnsi="微软雅黑" w:cs="微软雅黑" w:eastAsia="微软雅黑"/>
          <w:spacing w:val="-52"/>
        </w:rPr>
      </w:r>
      <w:r>
        <w:rPr>
          <w:rFonts w:ascii="微软雅黑" w:hAnsi="微软雅黑" w:cs="微软雅黑" w:eastAsia="微软雅黑"/>
        </w:rPr>
        <w:t>足，相对稳定，责权明确，能够有效履职。</w:t>
      </w:r>
    </w:p>
    <w:p>
      <w:pPr>
        <w:spacing w:line="240" w:lineRule="auto" w:before="8"/>
        <w:rPr>
          <w:rFonts w:ascii="微软雅黑" w:hAnsi="微软雅黑" w:cs="微软雅黑" w:eastAsia="微软雅黑"/>
          <w:sz w:val="26"/>
          <w:szCs w:val="26"/>
        </w:rPr>
      </w:pPr>
    </w:p>
    <w:p>
      <w:pPr>
        <w:pStyle w:val="BodyText"/>
        <w:spacing w:line="424" w:lineRule="auto"/>
        <w:ind w:right="119"/>
        <w:jc w:val="both"/>
      </w:pPr>
      <w:r>
        <w:rPr/>
        <w:t>①描述说明学校实行高校教师与幼儿园教师共同指导教育实践的“双导师”制度与 具体措施，包括导师遴选、人员配置、实践指导、能力提升、条件保障、考核评价 与动态调整等方面。</w:t>
      </w:r>
    </w:p>
    <w:p>
      <w:pPr>
        <w:pStyle w:val="BodyText"/>
        <w:spacing w:line="240" w:lineRule="auto" w:before="65"/>
        <w:ind w:right="0"/>
        <w:jc w:val="both"/>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④描述说明学校支持教育实践指导教师的专门制度与措施。</w:t>
      </w:r>
    </w:p>
    <w:p>
      <w:pPr>
        <w:spacing w:after="0" w:line="240" w:lineRule="auto"/>
        <w:jc w:val="both"/>
        <w:sectPr>
          <w:headerReference w:type="default" r:id="rId81"/>
          <w:footerReference w:type="default" r:id="rId82"/>
          <w:pgSz w:w="12240" w:h="15840"/>
          <w:pgMar w:header="0" w:footer="700" w:top="880" w:bottom="880" w:left="1680" w:right="1680"/>
          <w:pgNumType w:start="10"/>
        </w:sectPr>
      </w:pPr>
    </w:p>
    <w:p>
      <w:pPr>
        <w:spacing w:line="240" w:lineRule="auto" w:before="6"/>
        <w:rPr>
          <w:rFonts w:ascii="华文楷体" w:hAnsi="华文楷体" w:cs="华文楷体" w:eastAsia="华文楷体"/>
          <w:sz w:val="5"/>
          <w:szCs w:val="5"/>
        </w:rPr>
      </w:pPr>
    </w:p>
    <w:p>
      <w:pPr>
        <w:spacing w:line="20" w:lineRule="exact"/>
        <w:ind w:left="112" w:right="0" w:firstLine="0"/>
        <w:rPr>
          <w:rFonts w:ascii="华文楷体" w:hAnsi="华文楷体" w:cs="华文楷体" w:eastAsia="华文楷体"/>
          <w:sz w:val="2"/>
          <w:szCs w:val="2"/>
        </w:rPr>
      </w:pPr>
      <w:r>
        <w:rPr>
          <w:rFonts w:ascii="华文楷体" w:hAnsi="华文楷体" w:cs="华文楷体" w:eastAsia="华文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华文楷体" w:hAnsi="华文楷体" w:cs="华文楷体" w:eastAsia="华文楷体"/>
          <w:sz w:val="2"/>
          <w:szCs w:val="2"/>
        </w:rPr>
      </w:r>
    </w:p>
    <w:p>
      <w:pPr>
        <w:spacing w:line="240" w:lineRule="auto" w:before="0"/>
        <w:rPr>
          <w:rFonts w:ascii="华文楷体" w:hAnsi="华文楷体" w:cs="华文楷体" w:eastAsia="华文楷体"/>
          <w:sz w:val="20"/>
          <w:szCs w:val="20"/>
        </w:rPr>
      </w:pPr>
    </w:p>
    <w:p>
      <w:pPr>
        <w:pStyle w:val="BodyText"/>
        <w:spacing w:line="410" w:lineRule="exact" w:before="141"/>
        <w:ind w:right="35"/>
        <w:jc w:val="left"/>
        <w:rPr>
          <w:rFonts w:ascii="微软雅黑" w:hAnsi="微软雅黑" w:cs="微软雅黑" w:eastAsia="微软雅黑"/>
        </w:rPr>
      </w:pPr>
      <w:r>
        <w:rPr>
          <w:rFonts w:ascii="微软雅黑" w:hAnsi="微软雅黑" w:cs="微软雅黑" w:eastAsia="微软雅黑"/>
        </w:rPr>
        <w:t>4.5 [管理评价] 教育实践管理较为规范，能够对重点环节实施质量监控。实行教育 实践评价与改进制度。依据相关标准，对教育实践表现进行有效评价。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①描述学校实践教学管理制度和措施，说明对教育见习、实验（实训）、保教实习、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③描述说明学前教育专业师范生教育实践标准，对实践能力和教育教学反思能力的 考核评价方式及效果分析。</w:t>
      </w:r>
    </w:p>
    <w:p>
      <w:pPr>
        <w:pStyle w:val="BodyText"/>
        <w:spacing w:line="240" w:lineRule="auto" w:before="65"/>
        <w:ind w:right="35"/>
        <w:jc w:val="left"/>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35"/>
        <w:jc w:val="left"/>
        <w:rPr>
          <w:b w:val="0"/>
          <w:bCs w:val="0"/>
        </w:rPr>
      </w:pPr>
      <w:bookmarkStart w:name="第二部分：主要问题" w:id="196"/>
      <w:bookmarkEnd w:id="196"/>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35"/>
        <w:jc w:val="left"/>
        <w:rPr>
          <w:b w:val="0"/>
          <w:bCs w:val="0"/>
        </w:rPr>
      </w:pPr>
      <w:bookmarkStart w:name="第三部分：改进措施" w:id="197"/>
      <w:bookmarkEnd w:id="197"/>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35"/>
        <w:jc w:val="left"/>
        <w:rPr>
          <w:b w:val="0"/>
          <w:bCs w:val="0"/>
        </w:rPr>
      </w:pPr>
      <w:bookmarkStart w:name="标准5师资队伍" w:id="198"/>
      <w:bookmarkEnd w:id="198"/>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35"/>
        <w:jc w:val="left"/>
        <w:rPr>
          <w:b w:val="0"/>
          <w:bCs w:val="0"/>
        </w:rPr>
      </w:pPr>
      <w:bookmarkStart w:name="第一部分：达标情况" w:id="199"/>
      <w:bookmarkEnd w:id="199"/>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5" w:firstLine="0"/>
        <w:jc w:val="left"/>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z w:val="21"/>
          <w:szCs w:val="21"/>
        </w:rPr>
      </w:r>
    </w:p>
    <w:p>
      <w:pPr>
        <w:spacing w:after="0" w:line="273" w:lineRule="auto"/>
        <w:jc w:val="left"/>
        <w:rPr>
          <w:rFonts w:ascii="楷体" w:hAnsi="楷体" w:cs="楷体" w:eastAsia="楷体"/>
          <w:sz w:val="21"/>
          <w:szCs w:val="21"/>
        </w:rPr>
        <w:sectPr>
          <w:headerReference w:type="default" r:id="rId83"/>
          <w:footerReference w:type="default" r:id="rId84"/>
          <w:pgSz w:w="12240" w:h="15840"/>
          <w:pgMar w:header="0" w:footer="700" w:top="880" w:bottom="880" w:left="1680" w:right="1560"/>
          <w:pgNumType w:start="11"/>
        </w:sectPr>
      </w:pPr>
    </w:p>
    <w:p>
      <w:pPr>
        <w:pStyle w:val="BodyText"/>
        <w:spacing w:line="387" w:lineRule="exact"/>
        <w:ind w:right="0"/>
        <w:jc w:val="both"/>
        <w:rPr>
          <w:rFonts w:ascii="微软雅黑" w:hAnsi="微软雅黑" w:cs="微软雅黑" w:eastAsia="微软雅黑"/>
        </w:rPr>
      </w:pPr>
      <w:r>
        <w:rPr>
          <w:rFonts w:ascii="微软雅黑" w:hAnsi="微软雅黑" w:cs="微软雅黑" w:eastAsia="微软雅黑"/>
        </w:rPr>
        <w:t>5.1 [数量结构] </w:t>
      </w:r>
      <w:r>
        <w:rPr>
          <w:rFonts w:ascii="微软雅黑" w:hAnsi="微软雅黑" w:cs="微软雅黑" w:eastAsia="微软雅黑"/>
          <w:spacing w:val="2"/>
        </w:rPr>
        <w:t> </w:t>
      </w:r>
      <w:r>
        <w:rPr>
          <w:rFonts w:ascii="微软雅黑" w:hAnsi="微软雅黑" w:cs="微软雅黑" w:eastAsia="微软雅黑"/>
        </w:rPr>
        <w:t>专任教师数量结构能够适应本专业教学和发展的需要，生师比不高</w:t>
      </w:r>
    </w:p>
    <w:p>
      <w:pPr>
        <w:pStyle w:val="BodyText"/>
        <w:spacing w:line="412" w:lineRule="exact" w:before="20"/>
        <w:ind w:right="233"/>
        <w:jc w:val="both"/>
        <w:rPr>
          <w:rFonts w:ascii="微软雅黑" w:hAnsi="微软雅黑" w:cs="微软雅黑" w:eastAsia="微软雅黑"/>
        </w:rPr>
      </w:pPr>
      <w:r>
        <w:rPr>
          <w:rFonts w:ascii="微软雅黑" w:hAnsi="微软雅黑" w:cs="微软雅黑" w:eastAsia="微软雅黑"/>
        </w:rPr>
        <w:t>于 18:1。硕士、博士学位教师占比本科一般不低于 60%、专科一般不低于</w:t>
      </w:r>
      <w:r>
        <w:rPr>
          <w:rFonts w:ascii="微软雅黑" w:hAnsi="微软雅黑" w:cs="微软雅黑" w:eastAsia="微软雅黑"/>
          <w:spacing w:val="-14"/>
        </w:rPr>
        <w:t> </w:t>
      </w:r>
      <w:r>
        <w:rPr>
          <w:rFonts w:ascii="微软雅黑" w:hAnsi="微软雅黑" w:cs="微软雅黑" w:eastAsia="微软雅黑"/>
        </w:rPr>
        <w:t>30%，</w:t>
      </w:r>
      <w:r>
        <w:rPr>
          <w:rFonts w:ascii="微软雅黑" w:hAnsi="微软雅黑" w:cs="微软雅黑" w:eastAsia="微软雅黑"/>
        </w:rPr>
        <w:t> 高级职称教师比例不低于学校平均水平，且为师范生上课。幼儿园一线兼职教师素 质良好、队伍稳定，占教师教育课程教师比例不低于</w:t>
      </w:r>
      <w:r>
        <w:rPr>
          <w:rFonts w:ascii="微软雅黑" w:hAnsi="微软雅黑" w:cs="微软雅黑" w:eastAsia="微软雅黑"/>
          <w:spacing w:val="-16"/>
        </w:rPr>
        <w:t> </w:t>
      </w:r>
      <w:r>
        <w:rPr>
          <w:rFonts w:ascii="微软雅黑" w:hAnsi="微软雅黑" w:cs="微软雅黑" w:eastAsia="微软雅黑"/>
        </w:rPr>
        <w:t>20%。</w:t>
      </w:r>
    </w:p>
    <w:p>
      <w:pPr>
        <w:pStyle w:val="BodyText"/>
        <w:spacing w:line="424" w:lineRule="auto" w:before="122"/>
        <w:ind w:right="23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pStyle w:val="BodyText"/>
        <w:spacing w:line="424" w:lineRule="auto" w:before="65"/>
        <w:ind w:right="239"/>
        <w:jc w:val="both"/>
      </w:pPr>
      <w:r>
        <w:rPr/>
        <w:t>②描述说明专业专任教师教学能力、学术水平满足师范生培养和专业教学需要的情 况。</w:t>
      </w:r>
    </w:p>
    <w:p>
      <w:pPr>
        <w:pStyle w:val="BodyText"/>
        <w:spacing w:line="424" w:lineRule="auto" w:before="65"/>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240" w:lineRule="auto" w:before="65"/>
        <w:ind w:right="0"/>
        <w:jc w:val="both"/>
      </w:pPr>
      <w:r>
        <w:rPr/>
        <w:t>④描述说明近三年专业专任教师队伍建设和发展满足学生发展需要的情况。</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⑤描述说明近三年专业兼职教师队伍建设和发展满足学生发展需要的情况。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5.2 [素质能力] 遵守高校教师职业道德规范，为人师表，言传身教；以生为本、以 学定教，具有较强的课堂教学、信息技术应用和学习指导等教育教学能力；勤于思 考，严谨治学，具有一定的学术水平和研究能力。具有职前养成和职后发展一体化 指导能力，能够有效指导师范生发展与职业规划。师范生对本专业专任教师、兼职 教师师德和教学具有较高的满意度。</w:t>
      </w:r>
    </w:p>
    <w:p>
      <w:pPr>
        <w:pStyle w:val="BodyText"/>
        <w:spacing w:line="424" w:lineRule="auto" w:before="145"/>
        <w:ind w:right="239"/>
        <w:jc w:val="both"/>
      </w:pPr>
      <w:r>
        <w:rPr/>
        <w:t>①描述说明学校加强专业专任教师队伍师德师风和素质能力建设的制度和措施，及 这些制度和措施发挥的作用。</w:t>
      </w:r>
    </w:p>
    <w:p>
      <w:pPr>
        <w:pStyle w:val="BodyText"/>
        <w:spacing w:line="424" w:lineRule="auto" w:before="65"/>
        <w:ind w:right="239"/>
        <w:jc w:val="both"/>
      </w:pPr>
      <w:r>
        <w:rPr/>
        <w:t>②描述说明常态化学生评教制度与标准，包括专任教师、兼职教师评价，说明学生 满意度。</w:t>
      </w:r>
    </w:p>
    <w:p>
      <w:pPr>
        <w:pStyle w:val="BodyText"/>
        <w:spacing w:line="424" w:lineRule="auto" w:before="65"/>
        <w:ind w:right="239"/>
        <w:jc w:val="both"/>
      </w:pPr>
      <w:r>
        <w:rPr/>
        <w:t>③描述说明专业专任教师的学前教育教学改革研究成果以及应用科研成果有效促进 教育教学改革情况。</w:t>
      </w:r>
    </w:p>
    <w:p>
      <w:pPr>
        <w:spacing w:after="0" w:line="424" w:lineRule="auto"/>
        <w:jc w:val="both"/>
        <w:sectPr>
          <w:headerReference w:type="default" r:id="rId85"/>
          <w:pgSz w:w="12240" w:h="15840"/>
          <w:pgMar w:header="959" w:footer="700" w:top="1880" w:bottom="880" w:left="1680" w:right="1560"/>
        </w:sectPr>
      </w:pPr>
    </w:p>
    <w:p>
      <w:pPr>
        <w:spacing w:line="240" w:lineRule="auto" w:before="14"/>
        <w:rPr>
          <w:rFonts w:ascii="华文楷体" w:hAnsi="华文楷体" w:cs="华文楷体" w:eastAsia="华文楷体"/>
          <w:sz w:val="12"/>
          <w:szCs w:val="12"/>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5.3 [实践经历] </w:t>
      </w:r>
      <w:r>
        <w:rPr>
          <w:rFonts w:ascii="微软雅黑" w:hAnsi="微软雅黑" w:cs="微软雅黑" w:eastAsia="微软雅黑"/>
          <w:spacing w:val="2"/>
        </w:rPr>
        <w:t> </w:t>
      </w:r>
      <w:r>
        <w:rPr>
          <w:rFonts w:ascii="微软雅黑" w:hAnsi="微软雅黑" w:cs="微软雅黑" w:eastAsia="微软雅黑"/>
        </w:rPr>
        <w:t>专业教师熟悉幼儿园教师专业标准、教师教育课程标准和幼儿园教</w:t>
      </w:r>
    </w:p>
    <w:p>
      <w:pPr>
        <w:pStyle w:val="BodyText"/>
        <w:spacing w:line="412" w:lineRule="exact" w:before="20"/>
        <w:ind w:right="35"/>
        <w:jc w:val="left"/>
        <w:rPr>
          <w:rFonts w:ascii="微软雅黑" w:hAnsi="微软雅黑" w:cs="微软雅黑" w:eastAsia="微软雅黑"/>
        </w:rPr>
      </w:pPr>
      <w:r>
        <w:rPr>
          <w:rFonts w:ascii="微软雅黑" w:hAnsi="微软雅黑" w:cs="微软雅黑" w:eastAsia="微软雅黑"/>
        </w:rPr>
        <w:t>育教学工作，至少有一年幼儿园教育服务经历，具有指导、分析、解决幼儿园教育 教学实际问题的能力，并有一定的教学研究成果。</w:t>
      </w:r>
    </w:p>
    <w:p>
      <w:pPr>
        <w:pStyle w:val="BodyText"/>
        <w:spacing w:line="424" w:lineRule="auto" w:before="125"/>
        <w:ind w:right="35"/>
        <w:jc w:val="left"/>
      </w:pPr>
      <w:r>
        <w:rPr/>
        <w:t>①描述说明学校和院系两级在鼓励专业教师深入幼儿园一线实践方面采取的制度和 措施。</w:t>
      </w:r>
    </w:p>
    <w:p>
      <w:pPr>
        <w:pStyle w:val="BodyText"/>
        <w:spacing w:line="424" w:lineRule="auto" w:before="65"/>
        <w:ind w:right="35"/>
        <w:jc w:val="left"/>
      </w:pPr>
      <w:r>
        <w:rPr/>
        <w:t>②描述分析这些制度和措施在激励和保障专业教师通过实践形成丰富的教学研究成 果中发挥的作用。</w:t>
      </w:r>
    </w:p>
    <w:p>
      <w:pPr>
        <w:pStyle w:val="BodyText"/>
        <w:spacing w:line="240" w:lineRule="auto" w:before="65"/>
        <w:ind w:right="0"/>
        <w:jc w:val="both"/>
      </w:pPr>
      <w:r>
        <w:rPr/>
        <w:t>③以列表的方式呈现专业教师近五年基于实践的教学研究成果。</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5.4 [持续发展] 制定并实施教师队伍建设规划。建立教师培训和实践研修制度。建 立专业教研组织，定期开展教研活动。建立教师分类评价制度，合理制定教师教育 实践类课程教师评价标准，评价结果与绩效分配、职称评聘挂钩。探索高校和幼儿 </w:t>
      </w:r>
      <w:r>
        <w:rPr>
          <w:rFonts w:ascii="微软雅黑" w:hAnsi="微软雅黑" w:cs="微软雅黑" w:eastAsia="微软雅黑"/>
          <w:spacing w:val="-9"/>
        </w:rPr>
        <w:t>园“协同教研”“双向互聘”“岗位互换”等共同发展机制。</w:t>
      </w:r>
    </w:p>
    <w:p>
      <w:pPr>
        <w:pStyle w:val="BodyText"/>
        <w:spacing w:line="240" w:lineRule="auto" w:before="143"/>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③列表说明近三年专业教师特别是青年教师进行国内外进修访学、幼儿园一线实践 </w:t>
      </w:r>
      <w:r>
        <w:rPr>
          <w:spacing w:val="-13"/>
        </w:rPr>
        <w:t>锻炼、教学技能与方法培训情况，并对培养培训提升教师教学水平效果进行分析（《专</w:t>
      </w:r>
      <w:r>
        <w:rPr>
          <w:spacing w:val="-46"/>
        </w:rPr>
        <w:t> </w:t>
      </w:r>
      <w:r>
        <w:rPr>
          <w:spacing w:val="-46"/>
        </w:rPr>
      </w:r>
      <w:r>
        <w:rPr>
          <w:spacing w:val="-6"/>
        </w:rPr>
        <w:t>业教学状态数据分析报告》有相关数据信息）。</w:t>
      </w:r>
    </w:p>
    <w:p>
      <w:pPr>
        <w:pStyle w:val="BodyText"/>
        <w:spacing w:line="424" w:lineRule="auto" w:before="65"/>
        <w:ind w:right="35"/>
        <w:jc w:val="left"/>
      </w:pPr>
      <w:r>
        <w:rPr/>
        <w:t>④描述说明专业教研组织建设情况（包括组织形式与规模，承担的具体责任，隶属 </w:t>
      </w:r>
      <w:r>
        <w:rPr>
          <w:spacing w:val="-10"/>
        </w:rPr>
        <w:t>关系，以及责任人），及组织开展的专业建设、课程建设、教材建设、教学技能提高、</w:t>
      </w:r>
      <w:r>
        <w:rPr>
          <w:spacing w:val="-40"/>
        </w:rPr>
        <w:t> </w:t>
      </w:r>
      <w:r>
        <w:rPr>
          <w:spacing w:val="-40"/>
        </w:rPr>
      </w: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240" w:lineRule="auto"/>
        <w:ind w:right="0"/>
        <w:jc w:val="both"/>
      </w:pPr>
      <w:r>
        <w:rPr>
          <w:spacing w:val="-4"/>
        </w:rPr>
        <w:t>⑤以列表方式呈现近三年开展教师自我评价（主要指通过课程评价进行教学改进）、</w:t>
      </w:r>
    </w:p>
    <w:p>
      <w:pPr>
        <w:spacing w:after="0" w:line="240" w:lineRule="auto"/>
        <w:jc w:val="both"/>
        <w:sectPr>
          <w:headerReference w:type="default" r:id="rId86"/>
          <w:pgSz w:w="12240" w:h="15840"/>
          <w:pgMar w:header="959" w:footer="700" w:top="1880" w:bottom="880" w:left="1680" w:right="1560"/>
        </w:sectPr>
      </w:pPr>
    </w:p>
    <w:p>
      <w:pPr>
        <w:spacing w:line="240" w:lineRule="auto" w:before="6"/>
        <w:rPr>
          <w:rFonts w:ascii="华文楷体" w:hAnsi="华文楷体" w:cs="华文楷体" w:eastAsia="华文楷体"/>
          <w:sz w:val="5"/>
          <w:szCs w:val="5"/>
        </w:rPr>
      </w:pPr>
    </w:p>
    <w:p>
      <w:pPr>
        <w:spacing w:line="20" w:lineRule="exact"/>
        <w:ind w:left="112" w:right="0" w:firstLine="0"/>
        <w:rPr>
          <w:rFonts w:ascii="华文楷体" w:hAnsi="华文楷体" w:cs="华文楷体" w:eastAsia="华文楷体"/>
          <w:sz w:val="2"/>
          <w:szCs w:val="2"/>
        </w:rPr>
      </w:pPr>
      <w:r>
        <w:rPr>
          <w:rFonts w:ascii="华文楷体" w:hAnsi="华文楷体" w:cs="华文楷体" w:eastAsia="华文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华文楷体" w:hAnsi="华文楷体" w:cs="华文楷体" w:eastAsia="华文楷体"/>
          <w:sz w:val="2"/>
          <w:szCs w:val="2"/>
        </w:rPr>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18"/>
          <w:szCs w:val="18"/>
        </w:rPr>
      </w:pPr>
    </w:p>
    <w:p>
      <w:pPr>
        <w:pStyle w:val="BodyText"/>
        <w:spacing w:line="344" w:lineRule="exact"/>
        <w:ind w:right="0"/>
        <w:jc w:val="both"/>
      </w:pPr>
      <w:r>
        <w:rPr/>
        <w:t>学生评价、同行评价、督导评价活动情况及结果。</w:t>
      </w:r>
    </w:p>
    <w:p>
      <w:pPr>
        <w:spacing w:line="240" w:lineRule="auto" w:before="3"/>
        <w:rPr>
          <w:rFonts w:ascii="华文楷体" w:hAnsi="华文楷体" w:cs="华文楷体" w:eastAsia="华文楷体"/>
          <w:sz w:val="29"/>
          <w:szCs w:val="29"/>
        </w:rPr>
      </w:pPr>
    </w:p>
    <w:p>
      <w:pPr>
        <w:pStyle w:val="BodyText"/>
        <w:spacing w:line="424" w:lineRule="auto"/>
        <w:ind w:right="0"/>
        <w:jc w:val="left"/>
      </w:pPr>
      <w:r>
        <w:rPr/>
        <w:t>⑥描述说明综合评价结果与校内绩效分配、职称晋升的挂钩情况，及对教师教学质 量提升的作用。</w:t>
      </w:r>
    </w:p>
    <w:p>
      <w:pPr>
        <w:spacing w:line="240" w:lineRule="auto" w:before="1"/>
        <w:rPr>
          <w:rFonts w:ascii="华文楷体" w:hAnsi="华文楷体" w:cs="华文楷体" w:eastAsia="华文楷体"/>
          <w:sz w:val="15"/>
          <w:szCs w:val="15"/>
        </w:rPr>
      </w:pPr>
    </w:p>
    <w:p>
      <w:pPr>
        <w:pStyle w:val="BodyText"/>
        <w:spacing w:line="424" w:lineRule="auto"/>
        <w:ind w:right="0"/>
        <w:jc w:val="left"/>
      </w:pPr>
      <w:r>
        <w:rPr/>
        <w:t>⑦描述说明学校探索建设高校和幼儿园“协同教研”“双向互聘”“岗位互换”等 共同发展机制的情况，以及学校教师分类评价制度建设及运行情况。</w:t>
      </w:r>
    </w:p>
    <w:p>
      <w:pPr>
        <w:spacing w:line="240" w:lineRule="auto" w:before="0"/>
        <w:rPr>
          <w:rFonts w:ascii="华文楷体" w:hAnsi="华文楷体" w:cs="华文楷体" w:eastAsia="华文楷体"/>
          <w:sz w:val="24"/>
          <w:szCs w:val="24"/>
        </w:rPr>
      </w:pPr>
    </w:p>
    <w:p>
      <w:pPr>
        <w:spacing w:line="240" w:lineRule="auto" w:before="0"/>
        <w:rPr>
          <w:rFonts w:ascii="华文楷体" w:hAnsi="华文楷体" w:cs="华文楷体" w:eastAsia="华文楷体"/>
          <w:sz w:val="24"/>
          <w:szCs w:val="24"/>
        </w:rPr>
      </w:pPr>
    </w:p>
    <w:p>
      <w:pPr>
        <w:spacing w:line="240" w:lineRule="auto" w:before="8"/>
        <w:rPr>
          <w:rFonts w:ascii="华文楷体" w:hAnsi="华文楷体" w:cs="华文楷体" w:eastAsia="华文楷体"/>
          <w:sz w:val="17"/>
          <w:szCs w:val="17"/>
        </w:rPr>
      </w:pPr>
    </w:p>
    <w:p>
      <w:pPr>
        <w:pStyle w:val="Heading5"/>
        <w:spacing w:line="240" w:lineRule="auto"/>
        <w:ind w:right="0"/>
        <w:jc w:val="both"/>
        <w:rPr>
          <w:b w:val="0"/>
          <w:bCs w:val="0"/>
        </w:rPr>
      </w:pPr>
      <w:bookmarkStart w:name="第二部分：主要问题" w:id="200"/>
      <w:bookmarkEnd w:id="200"/>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201"/>
      <w:bookmarkEnd w:id="201"/>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6支持条件" w:id="202"/>
      <w:bookmarkEnd w:id="202"/>
      <w:r>
        <w:rPr>
          <w:b w:val="0"/>
          <w:bCs w:val="0"/>
        </w:rPr>
      </w:r>
      <w:r>
        <w:rPr/>
        <w:t>标准 6</w:t>
      </w:r>
      <w:r>
        <w:rPr>
          <w:spacing w:val="-32"/>
        </w:rPr>
        <w:t> </w:t>
      </w:r>
      <w:r>
        <w:rPr/>
        <w:t>支持条件</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03"/>
      <w:bookmarkEnd w:id="20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0"/>
        <w:jc w:val="left"/>
        <w:rPr>
          <w:rFonts w:ascii="微软雅黑" w:hAnsi="微软雅黑" w:cs="微软雅黑" w:eastAsia="微软雅黑"/>
        </w:rPr>
      </w:pPr>
      <w:r>
        <w:rPr>
          <w:rFonts w:ascii="微软雅黑" w:hAnsi="微软雅黑" w:cs="微软雅黑" w:eastAsia="微软雅黑"/>
        </w:rPr>
        <w:t>6.1 [经费保障] 专业建设经费满足师范生培养需求，教学日常运行支出占生均拨款 总额与学费收入之和的比例不低于</w:t>
      </w:r>
      <w:r>
        <w:rPr>
          <w:rFonts w:ascii="微软雅黑" w:hAnsi="微软雅黑" w:cs="微软雅黑" w:eastAsia="微软雅黑"/>
          <w:spacing w:val="-3"/>
        </w:rPr>
        <w:t> </w:t>
      </w:r>
      <w:r>
        <w:rPr>
          <w:rFonts w:ascii="微软雅黑" w:hAnsi="微软雅黑" w:cs="微软雅黑" w:eastAsia="微软雅黑"/>
          <w:spacing w:val="-4"/>
        </w:rPr>
        <w:t>13%，生均教学日常运行支出不低于学校平均水</w:t>
      </w:r>
    </w:p>
    <w:p>
      <w:pPr>
        <w:spacing w:after="0" w:line="410" w:lineRule="exact"/>
        <w:jc w:val="left"/>
        <w:rPr>
          <w:rFonts w:ascii="微软雅黑" w:hAnsi="微软雅黑" w:cs="微软雅黑" w:eastAsia="微软雅黑"/>
        </w:rPr>
        <w:sectPr>
          <w:headerReference w:type="default" r:id="rId87"/>
          <w:pgSz w:w="12240" w:h="15840"/>
          <w:pgMar w:header="0" w:footer="700" w:top="880" w:bottom="880" w:left="1680" w:right="168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0"/>
        <w:jc w:val="left"/>
        <w:rPr>
          <w:rFonts w:ascii="微软雅黑" w:hAnsi="微软雅黑" w:cs="微软雅黑" w:eastAsia="微软雅黑"/>
        </w:rPr>
      </w:pPr>
      <w:r>
        <w:rPr>
          <w:rFonts w:ascii="微软雅黑" w:hAnsi="微软雅黑" w:cs="微软雅黑" w:eastAsia="微软雅黑"/>
        </w:rPr>
        <w:t>平，生均教育实践经费支出不低于学校平均水平。教学设施设备和图书资料等更新</w:t>
      </w:r>
    </w:p>
    <w:p>
      <w:pPr>
        <w:pStyle w:val="BodyText"/>
        <w:spacing w:line="412" w:lineRule="exact"/>
        <w:ind w:right="0"/>
        <w:jc w:val="left"/>
        <w:rPr>
          <w:rFonts w:ascii="微软雅黑" w:hAnsi="微软雅黑" w:cs="微软雅黑" w:eastAsia="微软雅黑"/>
        </w:rPr>
      </w:pPr>
      <w:r>
        <w:rPr>
          <w:rFonts w:ascii="微软雅黑" w:hAnsi="微软雅黑" w:cs="微软雅黑" w:eastAsia="微软雅黑"/>
        </w:rPr>
        <w:t>经费有标准和预决算。</w:t>
      </w:r>
    </w:p>
    <w:p>
      <w:pPr>
        <w:pStyle w:val="BodyText"/>
        <w:spacing w:line="240" w:lineRule="auto" w:before="144"/>
        <w:ind w:right="0"/>
        <w:jc w:val="left"/>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②描述说明学校在学生实验、实习和毕业论文（设计）上的生均经费投入情况及满 足专业教学需要情况。</w:t>
      </w:r>
    </w:p>
    <w:p>
      <w:pPr>
        <w:pStyle w:val="BodyText"/>
        <w:spacing w:line="240" w:lineRule="auto" w:before="65"/>
        <w:ind w:right="0"/>
        <w:jc w:val="left"/>
      </w:pPr>
      <w:r>
        <w:rPr/>
        <w:t>③列表说明近三年学校和院系用于专业教学的经费收支情况。</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4"/>
        <w:rPr>
          <w:rFonts w:ascii="华文楷体" w:hAnsi="华文楷体" w:cs="华文楷体" w:eastAsia="华文楷体"/>
          <w:sz w:val="21"/>
          <w:szCs w:val="21"/>
        </w:rPr>
      </w:pPr>
    </w:p>
    <w:p>
      <w:pPr>
        <w:pStyle w:val="BodyText"/>
        <w:spacing w:line="353" w:lineRule="exact"/>
        <w:ind w:right="0"/>
        <w:jc w:val="left"/>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教育教学设施满足师范生培养要求。建有学前教育专业教师职业技</w:t>
      </w:r>
    </w:p>
    <w:p>
      <w:pPr>
        <w:pStyle w:val="BodyText"/>
        <w:spacing w:line="237" w:lineRule="auto" w:before="1"/>
        <w:ind w:right="0"/>
        <w:jc w:val="left"/>
        <w:rPr>
          <w:rFonts w:ascii="微软雅黑" w:hAnsi="微软雅黑" w:cs="微软雅黑" w:eastAsia="微软雅黑"/>
        </w:rPr>
      </w:pPr>
      <w:r>
        <w:rPr>
          <w:rFonts w:ascii="微软雅黑" w:hAnsi="微软雅黑" w:cs="微软雅黑" w:eastAsia="微软雅黑"/>
        </w:rPr>
        <w:t>能实训平台，满足保育实践、实验教学、教学技能训练、艺术技能训练等实践教学 </w:t>
      </w:r>
      <w:r>
        <w:rPr>
          <w:rFonts w:ascii="微软雅黑" w:hAnsi="微软雅黑" w:cs="微软雅黑" w:eastAsia="微软雅黑"/>
          <w:spacing w:val="-4"/>
        </w:rPr>
        <w:t>需要。信息化教育设施能够适应师范生信息素养培养要求。建有教育教学设施管理、</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维护、更新和共享机制，方便师范生使用。</w:t>
      </w:r>
    </w:p>
    <w:p>
      <w:pPr>
        <w:pStyle w:val="BodyText"/>
        <w:spacing w:line="424" w:lineRule="auto" w:before="145"/>
        <w:ind w:right="359"/>
        <w:jc w:val="both"/>
      </w:pPr>
      <w:r>
        <w:rPr/>
        <w:t>①列表说明学校和院系用于学前教育专业教学的主要教学实验室、教师职业技能实 </w:t>
      </w:r>
      <w:r>
        <w:rPr>
          <w:spacing w:val="-13"/>
        </w:rPr>
        <w:t>训平台、实验实训设施满足保育实践、营养卫生实践等实践教学任务需要情况。（《专</w:t>
      </w:r>
      <w:r>
        <w:rPr>
          <w:spacing w:val="-48"/>
        </w:rPr>
        <w:t> </w:t>
      </w:r>
      <w:r>
        <w:rPr>
          <w:spacing w:val="-48"/>
        </w:rPr>
      </w:r>
      <w:r>
        <w:rPr/>
        <w:t>业教学状态数据分析报告》有相关数据信息）</w:t>
      </w:r>
    </w:p>
    <w:p>
      <w:pPr>
        <w:pStyle w:val="BodyText"/>
        <w:spacing w:line="240" w:lineRule="auto" w:before="65"/>
        <w:ind w:right="0"/>
        <w:jc w:val="left"/>
      </w:pPr>
      <w:r>
        <w:rPr/>
        <w:t>②描述说明现代信息技术与专业教学工作进行融合用以支撑教学改革与师范生学习</w:t>
      </w:r>
    </w:p>
    <w:p>
      <w:pPr>
        <w:spacing w:after="0" w:line="240" w:lineRule="auto"/>
        <w:jc w:val="left"/>
        <w:sectPr>
          <w:headerReference w:type="default" r:id="rId88"/>
          <w:footerReference w:type="default" r:id="rId89"/>
          <w:pgSz w:w="12240" w:h="15840"/>
          <w:pgMar w:header="0" w:footer="700" w:top="880" w:bottom="880" w:left="1680" w:right="1440"/>
          <w:pgNumType w:start="15"/>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方式转变情况。</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③描述说明这些资源是否满足专业教师和学生教学需求，专业与资源管理部门的信 息沟通渠道，以及专业设施使用绩效评价考核机制。</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专业教学资源满足师范生培养需要，数字化教学资源较为丰富，使</w:t>
      </w:r>
    </w:p>
    <w:p>
      <w:pPr>
        <w:pStyle w:val="BodyText"/>
        <w:spacing w:line="412" w:lineRule="exact" w:before="20"/>
        <w:ind w:right="115"/>
        <w:jc w:val="both"/>
        <w:rPr>
          <w:rFonts w:ascii="微软雅黑" w:hAnsi="微软雅黑" w:cs="微软雅黑" w:eastAsia="微软雅黑"/>
        </w:rPr>
      </w:pPr>
      <w:r>
        <w:rPr>
          <w:rFonts w:ascii="微软雅黑" w:hAnsi="微软雅黑" w:cs="微软雅黑" w:eastAsia="微软雅黑"/>
        </w:rPr>
        <w:t>用率较高。生均教育类纸质图书不少于</w:t>
      </w:r>
      <w:r>
        <w:rPr>
          <w:rFonts w:ascii="微软雅黑" w:hAnsi="微软雅黑" w:cs="微软雅黑" w:eastAsia="微软雅黑"/>
          <w:spacing w:val="19"/>
        </w:rPr>
        <w:t> </w:t>
      </w:r>
      <w:r>
        <w:rPr>
          <w:rFonts w:ascii="微软雅黑" w:hAnsi="微软雅黑" w:cs="微软雅黑" w:eastAsia="微软雅黑"/>
        </w:rPr>
        <w:t>30</w:t>
      </w:r>
      <w:r>
        <w:rPr>
          <w:rFonts w:ascii="微软雅黑" w:hAnsi="微软雅黑" w:cs="微软雅黑" w:eastAsia="微软雅黑"/>
          <w:spacing w:val="16"/>
        </w:rPr>
        <w:t> </w:t>
      </w:r>
      <w:r>
        <w:rPr>
          <w:rFonts w:ascii="微软雅黑" w:hAnsi="微软雅黑" w:cs="微软雅黑" w:eastAsia="微软雅黑"/>
        </w:rPr>
        <w:t>册。建有幼儿园教学资源库和优秀幼儿</w:t>
      </w:r>
      <w:r>
        <w:rPr>
          <w:rFonts w:ascii="微软雅黑" w:hAnsi="微软雅黑" w:cs="微软雅黑" w:eastAsia="微软雅黑"/>
          <w:spacing w:val="-63"/>
        </w:rPr>
        <w:t> </w:t>
      </w:r>
      <w:r>
        <w:rPr>
          <w:rFonts w:ascii="微软雅黑" w:hAnsi="微软雅黑" w:cs="微软雅黑" w:eastAsia="微软雅黑"/>
          <w:spacing w:val="-63"/>
        </w:rPr>
      </w:r>
      <w:r>
        <w:rPr>
          <w:rFonts w:ascii="微软雅黑" w:hAnsi="微软雅黑" w:cs="微软雅黑" w:eastAsia="微软雅黑"/>
          <w:spacing w:val="-8"/>
        </w:rPr>
        <w:t>园教育教学案例库，其中《幼儿园教育指导纲要（试行）》《3-6</w:t>
      </w:r>
      <w:r>
        <w:rPr>
          <w:rFonts w:ascii="微软雅黑" w:hAnsi="微软雅黑" w:cs="微软雅黑" w:eastAsia="微软雅黑"/>
          <w:spacing w:val="10"/>
        </w:rPr>
        <w:t> </w:t>
      </w:r>
      <w:r>
        <w:rPr>
          <w:rFonts w:ascii="微软雅黑" w:hAnsi="微软雅黑" w:cs="微软雅黑" w:eastAsia="微软雅黑"/>
        </w:rPr>
        <w:t>岁儿童学习与发展</w:t>
      </w:r>
      <w:r>
        <w:rPr>
          <w:rFonts w:ascii="微软雅黑" w:hAnsi="微软雅黑" w:cs="微软雅黑" w:eastAsia="微软雅黑"/>
          <w:spacing w:val="-66"/>
        </w:rPr>
        <w:t> </w:t>
      </w:r>
      <w:r>
        <w:rPr>
          <w:rFonts w:ascii="微软雅黑" w:hAnsi="微软雅黑" w:cs="微软雅黑" w:eastAsia="微软雅黑"/>
          <w:spacing w:val="-66"/>
        </w:rPr>
      </w:r>
      <w:r>
        <w:rPr>
          <w:rFonts w:ascii="微软雅黑" w:hAnsi="微软雅黑" w:cs="微软雅黑" w:eastAsia="微软雅黑"/>
        </w:rPr>
        <w:t>指南》和教学实习用幼儿园课程方案每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424" w:lineRule="auto" w:before="122"/>
        <w:ind w:right="119"/>
        <w:jc w:val="both"/>
      </w:pPr>
      <w:r>
        <w:rPr/>
        <w:t>①描述说明学前教育专业相关多媒体教育设施和数字化教学资源建设和使用，以及 满足师范生学习需要情况。</w:t>
      </w:r>
    </w:p>
    <w:p>
      <w:pPr>
        <w:pStyle w:val="BodyText"/>
        <w:spacing w:line="424" w:lineRule="auto" w:before="65"/>
        <w:ind w:right="119"/>
        <w:jc w:val="both"/>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③描述说明用于教学设施和图书资料等更新的经费标准和预决算情况，特别是幼儿 园教学资源库和优秀幼儿园教育教学案例库建设情况、使用与激励机制。</w:t>
      </w:r>
    </w:p>
    <w:p>
      <w:pPr>
        <w:pStyle w:val="Heading5"/>
        <w:spacing w:line="240" w:lineRule="auto" w:before="180"/>
        <w:ind w:right="0"/>
        <w:jc w:val="both"/>
        <w:rPr>
          <w:b w:val="0"/>
          <w:bCs w:val="0"/>
        </w:rPr>
      </w:pPr>
      <w:bookmarkStart w:name="第二部分：主要问题" w:id="204"/>
      <w:bookmarkEnd w:id="204"/>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17"/>
          <w:szCs w:val="17"/>
        </w:rPr>
      </w:pPr>
    </w:p>
    <w:p>
      <w:pPr>
        <w:pStyle w:val="Heading5"/>
        <w:spacing w:line="240" w:lineRule="auto"/>
        <w:ind w:right="0"/>
        <w:jc w:val="both"/>
        <w:rPr>
          <w:b w:val="0"/>
          <w:bCs w:val="0"/>
        </w:rPr>
      </w:pPr>
      <w:bookmarkStart w:name="第三部分：改进措施" w:id="205"/>
      <w:bookmarkEnd w:id="205"/>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after="0" w:line="273" w:lineRule="auto"/>
        <w:jc w:val="both"/>
        <w:rPr>
          <w:rFonts w:ascii="楷体" w:hAnsi="楷体" w:cs="楷体" w:eastAsia="楷体"/>
          <w:sz w:val="21"/>
          <w:szCs w:val="21"/>
        </w:rPr>
        <w:sectPr>
          <w:headerReference w:type="default" r:id="rId90"/>
          <w:pgSz w:w="12240" w:h="15840"/>
          <w:pgMar w:header="773" w:footer="700" w:top="960" w:bottom="880" w:left="1680" w:right="168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0"/>
        <w:jc w:val="both"/>
        <w:rPr>
          <w:b w:val="0"/>
          <w:bCs w:val="0"/>
        </w:rPr>
      </w:pPr>
      <w:bookmarkStart w:name="标准7质量保障" w:id="206"/>
      <w:bookmarkEnd w:id="206"/>
      <w:r>
        <w:rPr>
          <w:b w:val="0"/>
          <w:bCs w:val="0"/>
        </w:rPr>
      </w:r>
      <w:r>
        <w:rPr/>
        <w:t>标准 7</w:t>
      </w:r>
      <w:r>
        <w:rPr>
          <w:spacing w:val="-32"/>
        </w:rPr>
        <w:t> </w:t>
      </w:r>
      <w:r>
        <w:rPr/>
        <w:t>质量保障</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07"/>
      <w:bookmarkEnd w:id="207"/>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40" w:lineRule="auto" w:before="127"/>
        <w:ind w:right="235"/>
        <w:jc w:val="both"/>
        <w:rPr>
          <w:rFonts w:ascii="微软雅黑" w:hAnsi="微软雅黑" w:cs="微软雅黑" w:eastAsia="微软雅黑"/>
        </w:rPr>
      </w:pPr>
      <w:r>
        <w:rPr>
          <w:rFonts w:ascii="微软雅黑" w:hAnsi="微软雅黑" w:cs="微软雅黑" w:eastAsia="微软雅黑"/>
        </w:rPr>
        <w:t>7.1 [保障体系] 建立教学质量保障体系，各主要教学环节有明确的质量要求。质量 保障目标清晰，任务明确，机构健全，责任到人，能够有效支持毕业要求达成。</w:t>
      </w:r>
    </w:p>
    <w:p>
      <w:pPr>
        <w:pStyle w:val="BodyText"/>
        <w:spacing w:line="240" w:lineRule="auto" w:before="142"/>
        <w:ind w:right="0"/>
        <w:jc w:val="both"/>
      </w:pPr>
      <w:r>
        <w:rPr/>
        <w:t>①描述说明学校和院系两级教学质量保障体系架构与运行方式。</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②描述说明学校和院系两级教学质量保障机构、目标、任务、职责分工、责任人及 对专业毕业要求所起的支持作用。</w:t>
      </w:r>
    </w:p>
    <w:p>
      <w:pPr>
        <w:pStyle w:val="BodyText"/>
        <w:spacing w:line="424" w:lineRule="auto" w:before="65"/>
        <w:ind w:right="239"/>
        <w:jc w:val="both"/>
      </w:pPr>
      <w:r>
        <w:rPr/>
        <w:pict>
          <v:shape style="position:absolute;margin-left:89.760002pt;margin-top:60.9175pt;width:411.85pt;height:95.6pt;mso-position-horizontal-relative:page;mso-position-vertical-relative:paragraph;z-index:164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8"/>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2"/>
                            <w:szCs w:val="22"/>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0"/>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8"/>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240" w:lineRule="auto" w:before="92"/>
        <w:ind w:right="35"/>
        <w:jc w:val="left"/>
        <w:rPr>
          <w:rFonts w:ascii="微软雅黑" w:hAnsi="微软雅黑" w:cs="微软雅黑" w:eastAsia="微软雅黑"/>
        </w:rPr>
      </w:pPr>
      <w:r>
        <w:rPr>
          <w:rFonts w:ascii="微软雅黑" w:hAnsi="微软雅黑" w:cs="微软雅黑" w:eastAsia="微软雅黑"/>
        </w:rPr>
        <w:t>7.2 [内部监控] 建立教学过程质量常态化监控机制，定期对各主要教学环节质量实 施监控与评价，保障毕业要求达成。</w:t>
      </w:r>
    </w:p>
    <w:p>
      <w:pPr>
        <w:pStyle w:val="BodyText"/>
        <w:spacing w:line="424" w:lineRule="auto" w:before="142"/>
        <w:ind w:right="35"/>
        <w:jc w:val="left"/>
      </w:pPr>
      <w:r>
        <w:rPr/>
        <w:t>①描述说明学校和院系两级教学质量监控与评价机制的建立情况，列出教学管理和 质量保障规章制度。</w:t>
      </w:r>
    </w:p>
    <w:p>
      <w:pPr>
        <w:pStyle w:val="BodyText"/>
        <w:spacing w:line="424" w:lineRule="auto" w:before="65"/>
        <w:ind w:right="119"/>
        <w:jc w:val="both"/>
      </w:pPr>
      <w:r>
        <w:rPr/>
        <w:t>②描述说明学校和院系两级定期开展专业教学质量评价（重点监控专业开展的课程 评价和毕业要求达成评价）情况，包括评估评价周期、评估评价对象、评估评价内 </w:t>
      </w:r>
      <w:r>
        <w:rPr>
          <w:spacing w:val="-4"/>
        </w:rPr>
        <w:t>容、评估评价渠道等，以及最近一次开展的专业教学质量评价的内容、方法和结果。</w:t>
      </w:r>
    </w:p>
    <w:p>
      <w:pPr>
        <w:spacing w:after="0" w:line="424" w:lineRule="auto"/>
        <w:jc w:val="both"/>
        <w:sectPr>
          <w:pgSz w:w="12240" w:h="15840"/>
          <w:pgMar w:header="773" w:footer="700"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119"/>
        <w:jc w:val="both"/>
      </w:pPr>
      <w:r>
        <w:rPr/>
        <w:t>③描述说明专业毕业要求达成的评价机制和方法，包括评价制度、评价周期、评价 </w:t>
      </w:r>
      <w:r>
        <w:rPr>
          <w:spacing w:val="-7"/>
        </w:rPr>
        <w:t>依据（主要来源于课程目标达成评价结果）、评价程序、评价方法和评价责任人。针</w:t>
      </w:r>
      <w:r>
        <w:rPr>
          <w:spacing w:val="-43"/>
        </w:rPr>
        <w:t> </w:t>
      </w:r>
      <w:r>
        <w:rPr>
          <w:spacing w:val="-43"/>
        </w:rPr>
      </w: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2400" w:right="0"/>
        <w:jc w:val="left"/>
      </w:pPr>
      <w:r>
        <w:rPr/>
        <w:t>最近一次毕业要求达成度评价的依据表</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1162"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576" w:lineRule="exact" w:before="32"/>
              <w:ind w:left="352" w:right="143" w:hanging="212"/>
              <w:jc w:val="left"/>
              <w:rPr>
                <w:rFonts w:ascii="楷体" w:hAnsi="楷体" w:cs="楷体" w:eastAsia="楷体"/>
                <w:sz w:val="21"/>
                <w:szCs w:val="21"/>
              </w:rPr>
            </w:pPr>
            <w:r>
              <w:rPr>
                <w:rFonts w:ascii="楷体" w:hAnsi="楷体" w:cs="楷体" w:eastAsia="楷体"/>
                <w:sz w:val="21"/>
                <w:szCs w:val="21"/>
              </w:rPr>
              <w:t>专业毕业</w:t>
            </w:r>
            <w:r>
              <w:rPr>
                <w:rFonts w:ascii="楷体" w:hAnsi="楷体" w:cs="楷体" w:eastAsia="楷体"/>
                <w:w w:val="99"/>
                <w:sz w:val="21"/>
                <w:szCs w:val="21"/>
              </w:rPr>
              <w:t> </w:t>
            </w: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296" w:right="296" w:firstLine="105"/>
              <w:jc w:val="left"/>
              <w:rPr>
                <w:rFonts w:ascii="楷体" w:hAnsi="楷体" w:cs="楷体" w:eastAsia="楷体"/>
                <w:sz w:val="21"/>
                <w:szCs w:val="21"/>
              </w:rPr>
            </w:pPr>
            <w:r>
              <w:rPr>
                <w:rFonts w:ascii="楷体" w:hAnsi="楷体" w:cs="楷体" w:eastAsia="楷体"/>
                <w:sz w:val="21"/>
                <w:szCs w:val="21"/>
              </w:rPr>
              <w:t>评价</w:t>
            </w:r>
            <w:r>
              <w:rPr>
                <w:rFonts w:ascii="楷体" w:hAnsi="楷体" w:cs="楷体" w:eastAsia="楷体"/>
                <w:w w:val="99"/>
                <w:sz w:val="21"/>
                <w:szCs w:val="21"/>
              </w:rPr>
              <w:t> </w:t>
            </w: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470" w:lineRule="atLeast" w:before="52"/>
              <w:ind w:left="323" w:right="323"/>
              <w:jc w:val="left"/>
              <w:rPr>
                <w:rFonts w:ascii="楷体" w:hAnsi="楷体" w:cs="楷体" w:eastAsia="楷体"/>
                <w:sz w:val="21"/>
                <w:szCs w:val="21"/>
              </w:rPr>
            </w:pPr>
            <w:r>
              <w:rPr>
                <w:rFonts w:ascii="楷体" w:hAnsi="楷体" w:cs="楷体" w:eastAsia="楷体"/>
                <w:sz w:val="21"/>
                <w:szCs w:val="21"/>
              </w:rPr>
              <w:t>课程考</w:t>
            </w:r>
            <w:r>
              <w:rPr>
                <w:rFonts w:ascii="楷体" w:hAnsi="楷体" w:cs="楷体" w:eastAsia="楷体"/>
                <w:w w:val="99"/>
                <w:sz w:val="21"/>
                <w:szCs w:val="21"/>
              </w:rPr>
              <w:t> </w:t>
            </w: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华文楷体" w:hAnsi="华文楷体" w:cs="华文楷体" w:eastAsia="华文楷体"/>
                <w:sz w:val="23"/>
                <w:szCs w:val="23"/>
              </w:rPr>
            </w:pPr>
          </w:p>
          <w:p>
            <w:pPr>
              <w:pStyle w:val="TableParagraph"/>
              <w:spacing w:line="278" w:lineRule="auto"/>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4"/>
                <w:szCs w:val="14"/>
              </w:rPr>
            </w:pPr>
          </w:p>
          <w:p>
            <w:pPr>
              <w:pStyle w:val="TableParagraph"/>
              <w:spacing w:line="240" w:lineRule="auto"/>
              <w:ind w:left="252" w:right="0"/>
              <w:jc w:val="left"/>
              <w:rPr>
                <w:rFonts w:ascii="楷体" w:hAnsi="楷体" w:cs="楷体" w:eastAsia="楷体"/>
                <w:sz w:val="21"/>
                <w:szCs w:val="21"/>
              </w:rPr>
            </w:pPr>
            <w:r>
              <w:rPr>
                <w:rFonts w:ascii="楷体" w:hAnsi="楷体" w:cs="楷体" w:eastAsia="楷体"/>
                <w:sz w:val="21"/>
                <w:szCs w:val="21"/>
              </w:rPr>
              <w:t>形成的记录文档</w:t>
            </w: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2"/>
        <w:rPr>
          <w:rFonts w:ascii="华文楷体" w:hAnsi="华文楷体" w:cs="华文楷体" w:eastAsia="华文楷体"/>
          <w:sz w:val="7"/>
          <w:szCs w:val="7"/>
        </w:rPr>
      </w:pPr>
    </w:p>
    <w:p>
      <w:pPr>
        <w:spacing w:line="344" w:lineRule="exact" w:before="0"/>
        <w:ind w:left="240" w:right="3731"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④描述说明学校和院系两级运用信息技术全过程监控与评价专业教学过程用以保障 专业毕业要求达成的情况。</w:t>
      </w:r>
    </w:p>
    <w:p>
      <w:pPr>
        <w:pStyle w:val="BodyText"/>
        <w:spacing w:line="331" w:lineRule="exact"/>
        <w:ind w:right="0"/>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建立毕业生跟踪反馈机制以及学前教育机构、教育行政部门等利益</w:t>
      </w:r>
    </w:p>
    <w:p>
      <w:pPr>
        <w:pStyle w:val="BodyText"/>
        <w:spacing w:line="412" w:lineRule="exact"/>
        <w:ind w:right="0"/>
        <w:jc w:val="left"/>
        <w:rPr>
          <w:rFonts w:ascii="微软雅黑" w:hAnsi="微软雅黑" w:cs="微软雅黑" w:eastAsia="微软雅黑"/>
        </w:rPr>
      </w:pPr>
      <w:r>
        <w:rPr>
          <w:rFonts w:ascii="微软雅黑" w:hAnsi="微软雅黑" w:cs="微软雅黑" w:eastAsia="微软雅黑"/>
        </w:rPr>
        <w:t>相关方参与的社会评价机制，对培养目标的达成度进行定期评价。</w:t>
      </w:r>
    </w:p>
    <w:p>
      <w:pPr>
        <w:pStyle w:val="BodyText"/>
        <w:spacing w:line="240" w:lineRule="auto" w:before="142"/>
        <w:ind w:right="0"/>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②描述说明学前教育机构、教育行政部门等利益相关方参与的多元社会评价机制的 建立情况。</w:t>
      </w:r>
    </w:p>
    <w:p>
      <w:pPr>
        <w:pStyle w:val="BodyText"/>
        <w:spacing w:line="424" w:lineRule="auto" w:before="65"/>
        <w:ind w:right="0"/>
        <w:jc w:val="left"/>
      </w:pPr>
      <w:r>
        <w:rPr/>
        <w:t>③描述说明培养目标达成评价的方法、周期以及最近一次毕业生、学前教育机构、 教育行政部门等利益相关方对培养目标达成进行评价的内容、方法和结果。</w:t>
      </w:r>
    </w:p>
    <w:p>
      <w:pPr>
        <w:pStyle w:val="BodyText"/>
        <w:spacing w:line="333" w:lineRule="exact"/>
        <w:ind w:right="0"/>
        <w:jc w:val="left"/>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4" w:lineRule="exact"/>
        <w:ind w:right="3731"/>
        <w:jc w:val="left"/>
        <w:rPr>
          <w:rFonts w:ascii="微软雅黑" w:hAnsi="微软雅黑" w:cs="微软雅黑" w:eastAsia="微软雅黑"/>
        </w:rPr>
      </w:pPr>
      <w:r>
        <w:rPr>
          <w:rFonts w:ascii="微软雅黑" w:hAnsi="微软雅黑" w:cs="微软雅黑" w:eastAsia="微软雅黑"/>
        </w:rPr>
        <w:t>推动师范生培养质量持续改进和提高。</w:t>
      </w:r>
    </w:p>
    <w:p>
      <w:pPr>
        <w:pStyle w:val="BodyText"/>
        <w:spacing w:line="240" w:lineRule="auto" w:before="142"/>
        <w:ind w:right="0"/>
        <w:jc w:val="left"/>
      </w:pPr>
      <w:r>
        <w:rPr/>
        <w:t>①.描述说明专业近三年综合分析内部质量监控和外部评价结果，用于推动师范生培</w:t>
      </w:r>
    </w:p>
    <w:p>
      <w:pPr>
        <w:spacing w:after="0" w:line="240" w:lineRule="auto"/>
        <w:jc w:val="left"/>
        <w:sectPr>
          <w:pgSz w:w="12240" w:h="15840"/>
          <w:pgMar w:header="773" w:footer="700"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养质量持续改进和提高的情况，并举例说明。</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②描述说明专业推进持续改进、追求卓越的质量文化建设的情况，并举例说明。</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208"/>
      <w:bookmarkEnd w:id="208"/>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7"/>
        <w:ind w:right="0"/>
        <w:jc w:val="both"/>
        <w:rPr>
          <w:b w:val="0"/>
          <w:bCs w:val="0"/>
        </w:rPr>
      </w:pPr>
      <w:bookmarkStart w:name="第三部分：改进措施" w:id="209"/>
      <w:bookmarkEnd w:id="209"/>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210"/>
      <w:bookmarkEnd w:id="210"/>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11"/>
      <w:bookmarkEnd w:id="211"/>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40" w:lineRule="auto" w:before="127"/>
        <w:ind w:right="0"/>
        <w:jc w:val="both"/>
        <w:rPr>
          <w:rFonts w:ascii="微软雅黑" w:hAnsi="微软雅黑" w:cs="微软雅黑" w:eastAsia="微软雅黑"/>
        </w:rPr>
      </w:pPr>
      <w:r>
        <w:rPr>
          <w:rFonts w:ascii="微软雅黑" w:hAnsi="微软雅黑" w:cs="微软雅黑" w:eastAsia="微软雅黑"/>
        </w:rPr>
        <w:t>8.1 [生源质量]</w:t>
      </w:r>
      <w:r>
        <w:rPr>
          <w:rFonts w:ascii="微软雅黑" w:hAnsi="微软雅黑" w:cs="微软雅黑" w:eastAsia="微软雅黑"/>
          <w:spacing w:val="45"/>
        </w:rPr>
        <w:t> </w:t>
      </w:r>
      <w:r>
        <w:rPr>
          <w:rFonts w:ascii="微软雅黑" w:hAnsi="微软雅黑" w:cs="微软雅黑" w:eastAsia="微软雅黑"/>
        </w:rPr>
        <w:t>建立有效的制度措施，能够吸引志愿从教、素质良好的生源。</w:t>
      </w:r>
    </w:p>
    <w:p>
      <w:pPr>
        <w:pStyle w:val="BodyText"/>
        <w:spacing w:line="240" w:lineRule="auto" w:before="142"/>
        <w:ind w:right="0"/>
        <w:jc w:val="both"/>
      </w:pPr>
      <w:r>
        <w:rPr/>
        <w:t>①列表说明专业近三年生源情况。</w:t>
      </w:r>
    </w:p>
    <w:p>
      <w:pPr>
        <w:spacing w:line="240" w:lineRule="auto" w:before="3"/>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4"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0"/>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1"/>
          <w:szCs w:val="21"/>
        </w:rPr>
      </w:pPr>
    </w:p>
    <w:p>
      <w:pPr>
        <w:pStyle w:val="BodyText"/>
        <w:spacing w:line="350" w:lineRule="exact" w:before="2"/>
        <w:ind w:right="0"/>
        <w:jc w:val="left"/>
      </w:pPr>
      <w:r>
        <w:rPr/>
        <w:t>②描述说明学校和院系两级建立符合学前教育专业特点、吸引乐教、适教的优秀生 源制度措施及效果情况。</w:t>
      </w:r>
    </w:p>
    <w:p>
      <w:pPr>
        <w:spacing w:line="240" w:lineRule="auto" w:before="11"/>
        <w:rPr>
          <w:rFonts w:ascii="华文楷体" w:hAnsi="华文楷体" w:cs="华文楷体" w:eastAsia="华文楷体"/>
          <w:sz w:val="26"/>
          <w:szCs w:val="26"/>
        </w:rPr>
      </w:pPr>
    </w:p>
    <w:p>
      <w:pPr>
        <w:pStyle w:val="BodyText"/>
        <w:spacing w:line="240" w:lineRule="auto"/>
        <w:ind w:right="0"/>
        <w:jc w:val="left"/>
        <w:rPr>
          <w:rFonts w:ascii="微软雅黑" w:hAnsi="微软雅黑" w:cs="微软雅黑" w:eastAsia="微软雅黑"/>
        </w:rPr>
      </w:pPr>
      <w:r>
        <w:rPr>
          <w:rFonts w:ascii="微软雅黑" w:hAnsi="微软雅黑" w:cs="微软雅黑" w:eastAsia="微软雅黑"/>
        </w:rPr>
        <w:t>8.2 [学生需求] 了解师范生发展诉求，加强学情分析，设计兼顾共性要求与个性需 求的培养方案与教学管理制度，为师范生发展提供空间。</w:t>
      </w:r>
    </w:p>
    <w:p>
      <w:pPr>
        <w:spacing w:after="0" w:line="240" w:lineRule="auto"/>
        <w:jc w:val="left"/>
        <w:rPr>
          <w:rFonts w:ascii="微软雅黑" w:hAnsi="微软雅黑" w:cs="微软雅黑" w:eastAsia="微软雅黑"/>
        </w:rPr>
        <w:sectPr>
          <w:pgSz w:w="12240" w:h="15840"/>
          <w:pgMar w:header="773" w:footer="700" w:top="960" w:bottom="880" w:left="1680" w:right="1680"/>
        </w:sectPr>
      </w:pPr>
    </w:p>
    <w:p>
      <w:pPr>
        <w:spacing w:line="240" w:lineRule="auto" w:before="0"/>
        <w:rPr>
          <w:rFonts w:ascii="微软雅黑" w:hAnsi="微软雅黑" w:cs="微软雅黑" w:eastAsia="微软雅黑"/>
          <w:sz w:val="20"/>
          <w:szCs w:val="20"/>
        </w:rPr>
      </w:pPr>
    </w:p>
    <w:p>
      <w:pPr>
        <w:spacing w:line="240" w:lineRule="auto" w:before="17"/>
        <w:rPr>
          <w:rFonts w:ascii="微软雅黑" w:hAnsi="微软雅黑" w:cs="微软雅黑" w:eastAsia="微软雅黑"/>
          <w:sz w:val="12"/>
          <w:szCs w:val="12"/>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建立师范生指导与服务体系，加强思想政治教育，能够适时为师范</w:t>
      </w:r>
    </w:p>
    <w:p>
      <w:pPr>
        <w:pStyle w:val="BodyText"/>
        <w:spacing w:line="412" w:lineRule="exact" w:before="20"/>
        <w:ind w:right="119"/>
        <w:jc w:val="both"/>
        <w:rPr>
          <w:rFonts w:ascii="微软雅黑" w:hAnsi="微软雅黑" w:cs="微软雅黑" w:eastAsia="微软雅黑"/>
        </w:rPr>
      </w:pPr>
      <w:r>
        <w:rPr>
          <w:rFonts w:ascii="微软雅黑" w:hAnsi="微软雅黑" w:cs="微软雅黑" w:eastAsia="微软雅黑"/>
        </w:rPr>
        <w:t>生提供生活指导、学习指导、职业生涯指导、就业创业指导、心理健康指导等，满 足师范生成长需求。</w:t>
      </w:r>
    </w:p>
    <w:p>
      <w:pPr>
        <w:pStyle w:val="BodyText"/>
        <w:spacing w:line="240" w:lineRule="auto" w:before="125"/>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建立形成性评价机制，监测师范生的学习进展情况，保证师范生在</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毕业时达到毕业要求。</w:t>
      </w:r>
    </w:p>
    <w:p>
      <w:pPr>
        <w:pStyle w:val="BodyText"/>
        <w:spacing w:line="424" w:lineRule="auto" w:before="142"/>
        <w:ind w:right="119"/>
        <w:jc w:val="both"/>
      </w:pPr>
      <w:r>
        <w:rPr/>
        <w:t>①描述说明师范生形成性评价机制的建立情况，及对师范生在整个学习过程中的表 现进行跟踪与评估情况及实施成效。</w:t>
      </w:r>
    </w:p>
    <w:p>
      <w:pPr>
        <w:pStyle w:val="BodyText"/>
        <w:spacing w:line="424" w:lineRule="auto" w:before="65"/>
        <w:ind w:right="119"/>
        <w:jc w:val="both"/>
      </w:pPr>
      <w:r>
        <w:rPr/>
        <w:t>②描述说明近三年师范生学业预警情况，分析指导师范生开展自我监测和自我评价 评价的效果。</w:t>
      </w:r>
    </w:p>
    <w:p>
      <w:pPr>
        <w:pStyle w:val="BodyText"/>
        <w:spacing w:line="424" w:lineRule="auto" w:before="65"/>
        <w:ind w:right="119"/>
        <w:jc w:val="both"/>
      </w:pPr>
      <w:r>
        <w:rPr/>
        <w:t>③描述说明根据学生自我监测和自我评价结果进行指导和改进用以保证师范生在毕 业时达到专业毕业要求的情况，并举例说明。</w:t>
      </w:r>
    </w:p>
    <w:p>
      <w:pPr>
        <w:spacing w:after="0" w:line="424" w:lineRule="auto"/>
        <w:jc w:val="both"/>
        <w:sectPr>
          <w:footerReference w:type="default" r:id="rId91"/>
          <w:pgSz w:w="12240" w:h="15840"/>
          <w:pgMar w:footer="680" w:header="773" w:top="960" w:bottom="860" w:left="1680" w:right="1680"/>
          <w:pgNumType w:start="20"/>
        </w:sectPr>
      </w:pPr>
    </w:p>
    <w:p>
      <w:pPr>
        <w:spacing w:line="240" w:lineRule="auto" w:before="6"/>
        <w:rPr>
          <w:rFonts w:ascii="华文楷体" w:hAnsi="华文楷体" w:cs="华文楷体" w:eastAsia="华文楷体"/>
          <w:sz w:val="5"/>
          <w:szCs w:val="5"/>
        </w:rPr>
      </w:pPr>
    </w:p>
    <w:p>
      <w:pPr>
        <w:spacing w:line="20" w:lineRule="exact"/>
        <w:ind w:left="1232" w:right="0" w:firstLine="0"/>
        <w:rPr>
          <w:rFonts w:ascii="华文楷体" w:hAnsi="华文楷体" w:cs="华文楷体" w:eastAsia="华文楷体"/>
          <w:sz w:val="2"/>
          <w:szCs w:val="2"/>
        </w:rPr>
      </w:pPr>
      <w:r>
        <w:rPr>
          <w:rFonts w:ascii="华文楷体" w:hAnsi="华文楷体" w:cs="华文楷体" w:eastAsia="华文楷体"/>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华文楷体" w:hAnsi="华文楷体" w:cs="华文楷体" w:eastAsia="华文楷体"/>
          <w:sz w:val="2"/>
          <w:szCs w:val="2"/>
        </w:rPr>
      </w:r>
    </w:p>
    <w:p>
      <w:pPr>
        <w:spacing w:line="240" w:lineRule="auto" w:before="0"/>
        <w:rPr>
          <w:rFonts w:ascii="华文楷体" w:hAnsi="华文楷体" w:cs="华文楷体" w:eastAsia="华文楷体"/>
          <w:sz w:val="20"/>
          <w:szCs w:val="20"/>
        </w:rPr>
      </w:pPr>
    </w:p>
    <w:p>
      <w:pPr>
        <w:pStyle w:val="BodyText"/>
        <w:spacing w:line="410" w:lineRule="exact" w:before="141"/>
        <w:ind w:left="1240" w:right="0"/>
        <w:jc w:val="left"/>
        <w:rPr>
          <w:rFonts w:ascii="微软雅黑" w:hAnsi="微软雅黑" w:cs="微软雅黑" w:eastAsia="微软雅黑"/>
        </w:rPr>
      </w:pPr>
      <w:r>
        <w:rPr>
          <w:rFonts w:ascii="微软雅黑" w:hAnsi="微软雅黑" w:cs="微软雅黑" w:eastAsia="微软雅黑"/>
        </w:rPr>
        <w:t>8.5 [就业质量] 毕业生的初次就业率不低于本地区高校毕业生就业率的平均水平， 获得教师资格证书的比例不低于</w:t>
      </w:r>
      <w:r>
        <w:rPr>
          <w:rFonts w:ascii="微软雅黑" w:hAnsi="微软雅黑" w:cs="微软雅黑" w:eastAsia="微软雅黑"/>
          <w:spacing w:val="-16"/>
        </w:rPr>
        <w:t> </w:t>
      </w:r>
      <w:r>
        <w:rPr>
          <w:rFonts w:ascii="微软雅黑" w:hAnsi="微软雅黑" w:cs="微软雅黑" w:eastAsia="微软雅黑"/>
        </w:rPr>
        <w:t>75%，且主要从事教育工作。</w:t>
      </w:r>
    </w:p>
    <w:p>
      <w:pPr>
        <w:pStyle w:val="BodyText"/>
        <w:spacing w:line="240" w:lineRule="auto" w:before="125"/>
        <w:ind w:left="1240" w:right="0"/>
        <w:jc w:val="left"/>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left="1240" w:right="0"/>
        <w:jc w:val="left"/>
      </w:pPr>
      <w:r>
        <w:rPr/>
        <w:t>②列表说明近三年专业毕业生教师资格考试通过率、就业率及就业去向，并对就业 质量及毕业生从教情况进行分析。</w:t>
      </w:r>
    </w:p>
    <w:p>
      <w:pPr>
        <w:spacing w:line="240" w:lineRule="auto" w:before="0"/>
        <w:rPr>
          <w:rFonts w:ascii="华文楷体" w:hAnsi="华文楷体" w:cs="华文楷体" w:eastAsia="华文楷体"/>
          <w:sz w:val="20"/>
          <w:szCs w:val="20"/>
        </w:rPr>
      </w:pPr>
    </w:p>
    <w:p>
      <w:pPr>
        <w:spacing w:line="240" w:lineRule="auto" w:before="7"/>
        <w:rPr>
          <w:rFonts w:ascii="华文楷体" w:hAnsi="华文楷体" w:cs="华文楷体" w:eastAsia="华文楷体"/>
          <w:sz w:val="20"/>
          <w:szCs w:val="20"/>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829"/>
        <w:gridCol w:w="935"/>
        <w:gridCol w:w="623"/>
        <w:gridCol w:w="1144"/>
        <w:gridCol w:w="1148"/>
        <w:gridCol w:w="735"/>
        <w:gridCol w:w="590"/>
        <w:gridCol w:w="827"/>
        <w:gridCol w:w="549"/>
        <w:gridCol w:w="590"/>
      </w:tblGrid>
      <w:tr>
        <w:trPr>
          <w:trHeight w:val="478"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408"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54" w:right="0"/>
              <w:jc w:val="left"/>
              <w:rPr>
                <w:rFonts w:ascii="楷体" w:hAnsi="楷体" w:cs="楷体" w:eastAsia="楷体"/>
                <w:sz w:val="21"/>
                <w:szCs w:val="21"/>
              </w:rPr>
            </w:pPr>
            <w:r>
              <w:rPr>
                <w:rFonts w:ascii="楷体" w:hAnsi="楷体" w:cs="楷体" w:eastAsia="楷体"/>
                <w:sz w:val="21"/>
                <w:szCs w:val="21"/>
              </w:rPr>
              <w:t>毕业</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7"/>
              <w:ind w:right="0"/>
              <w:jc w:val="left"/>
              <w:rPr>
                <w:rFonts w:ascii="华文楷体" w:hAnsi="华文楷体" w:cs="华文楷体" w:eastAsia="华文楷体"/>
                <w:sz w:val="28"/>
                <w:szCs w:val="28"/>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68" w:right="0"/>
              <w:jc w:val="left"/>
              <w:rPr>
                <w:rFonts w:ascii="楷体" w:hAnsi="楷体" w:cs="楷体" w:eastAsia="楷体"/>
                <w:sz w:val="21"/>
                <w:szCs w:val="21"/>
              </w:rPr>
            </w:pPr>
            <w:r>
              <w:rPr>
                <w:rFonts w:ascii="楷体" w:hAnsi="楷体" w:cs="楷体" w:eastAsia="楷体"/>
                <w:sz w:val="21"/>
                <w:szCs w:val="21"/>
              </w:rPr>
              <w:t>获学</w:t>
            </w:r>
          </w:p>
        </w:tc>
        <w:tc>
          <w:tcPr>
            <w:tcW w:w="829" w:type="dxa"/>
            <w:vMerge w:val="restart"/>
            <w:tcBorders>
              <w:top w:val="single" w:sz="4" w:space="0" w:color="000000"/>
              <w:left w:val="single" w:sz="4" w:space="0" w:color="000000"/>
              <w:right w:val="nil" w:sz="6" w:space="0" w:color="auto"/>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4"/>
              <w:ind w:right="0"/>
              <w:jc w:val="left"/>
              <w:rPr>
                <w:rFonts w:ascii="华文楷体" w:hAnsi="华文楷体" w:cs="华文楷体" w:eastAsia="华文楷体"/>
                <w:sz w:val="16"/>
                <w:szCs w:val="16"/>
              </w:rPr>
            </w:pPr>
          </w:p>
          <w:p>
            <w:pPr>
              <w:pStyle w:val="TableParagraph"/>
              <w:spacing w:line="240" w:lineRule="auto"/>
              <w:ind w:left="120" w:right="0"/>
              <w:jc w:val="left"/>
              <w:rPr>
                <w:rFonts w:ascii="楷体" w:hAnsi="楷体" w:cs="楷体" w:eastAsia="楷体"/>
                <w:sz w:val="21"/>
                <w:szCs w:val="21"/>
              </w:rPr>
            </w:pPr>
            <w:r>
              <w:rPr>
                <w:rFonts w:ascii="楷体" w:hAnsi="楷体" w:cs="楷体" w:eastAsia="楷体"/>
                <w:sz w:val="21"/>
                <w:szCs w:val="21"/>
              </w:rPr>
              <w:t>获教师</w:t>
            </w:r>
          </w:p>
        </w:tc>
        <w:tc>
          <w:tcPr>
            <w:tcW w:w="935" w:type="dxa"/>
            <w:vMerge w:val="restart"/>
            <w:tcBorders>
              <w:top w:val="single" w:sz="4" w:space="0" w:color="000000"/>
              <w:left w:val="nil" w:sz="6" w:space="0" w:color="auto"/>
              <w:right w:val="single" w:sz="4" w:space="0" w:color="000000"/>
            </w:tcBorders>
          </w:tcPr>
          <w:p>
            <w:pPr/>
          </w:p>
        </w:tc>
        <w:tc>
          <w:tcPr>
            <w:tcW w:w="6206" w:type="dxa"/>
            <w:gridSpan w:val="8"/>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354"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tcBorders>
              <w:left w:val="single" w:sz="4" w:space="0" w:color="000000"/>
              <w:bottom w:val="nil" w:sz="6" w:space="0" w:color="auto"/>
              <w:right w:val="nil" w:sz="6" w:space="0" w:color="auto"/>
            </w:tcBorders>
          </w:tcPr>
          <w:p>
            <w:pPr/>
          </w:p>
        </w:tc>
        <w:tc>
          <w:tcPr>
            <w:tcW w:w="935" w:type="dxa"/>
            <w:vMerge/>
            <w:tcBorders>
              <w:left w:val="nil" w:sz="6" w:space="0" w:color="auto"/>
              <w:bottom w:val="nil" w:sz="6" w:space="0" w:color="auto"/>
              <w:right w:val="single" w:sz="4" w:space="0" w:color="000000"/>
            </w:tcBorders>
          </w:tcPr>
          <w:p>
            <w:pPr/>
          </w:p>
        </w:tc>
        <w:tc>
          <w:tcPr>
            <w:tcW w:w="62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1144" w:type="dxa"/>
            <w:tcBorders>
              <w:top w:val="single" w:sz="4" w:space="0" w:color="000000"/>
              <w:left w:val="single" w:sz="4" w:space="0" w:color="000000"/>
              <w:bottom w:val="nil" w:sz="6" w:space="0" w:color="auto"/>
              <w:right w:val="nil" w:sz="6" w:space="0" w:color="auto"/>
            </w:tcBorders>
          </w:tcPr>
          <w:p>
            <w:pPr>
              <w:pStyle w:val="TableParagraph"/>
              <w:spacing w:line="240" w:lineRule="auto" w:before="65"/>
              <w:ind w:left="148" w:right="0"/>
              <w:jc w:val="left"/>
              <w:rPr>
                <w:rFonts w:ascii="楷体" w:hAnsi="楷体" w:cs="楷体" w:eastAsia="楷体"/>
                <w:sz w:val="21"/>
                <w:szCs w:val="21"/>
              </w:rPr>
            </w:pPr>
            <w:r>
              <w:rPr>
                <w:rFonts w:ascii="楷体" w:hAnsi="楷体" w:cs="楷体" w:eastAsia="楷体"/>
                <w:sz w:val="21"/>
                <w:szCs w:val="21"/>
              </w:rPr>
              <w:t>政府及事</w:t>
            </w:r>
          </w:p>
        </w:tc>
        <w:tc>
          <w:tcPr>
            <w:tcW w:w="1148" w:type="dxa"/>
            <w:tcBorders>
              <w:top w:val="single" w:sz="4" w:space="0" w:color="000000"/>
              <w:left w:val="nil" w:sz="6" w:space="0" w:color="auto"/>
              <w:bottom w:val="nil" w:sz="6" w:space="0" w:color="auto"/>
              <w:right w:val="single" w:sz="4" w:space="0" w:color="000000"/>
            </w:tcBorders>
          </w:tcPr>
          <w:p>
            <w:pPr>
              <w:pStyle w:val="TableParagraph"/>
              <w:spacing w:line="240" w:lineRule="auto" w:before="65"/>
              <w:ind w:left="153" w:right="0"/>
              <w:jc w:val="left"/>
              <w:rPr>
                <w:rFonts w:ascii="楷体" w:hAnsi="楷体" w:cs="楷体" w:eastAsia="楷体"/>
                <w:sz w:val="21"/>
                <w:szCs w:val="21"/>
              </w:rPr>
            </w:pPr>
            <w:r>
              <w:rPr>
                <w:rFonts w:ascii="楷体" w:hAnsi="楷体" w:cs="楷体" w:eastAsia="楷体"/>
                <w:sz w:val="21"/>
                <w:szCs w:val="21"/>
              </w:rPr>
              <w:t>政府及事</w:t>
            </w:r>
          </w:p>
        </w:tc>
        <w:tc>
          <w:tcPr>
            <w:tcW w:w="73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240" w:lineRule="auto"/>
              <w:ind w:left="152" w:right="0"/>
              <w:jc w:val="left"/>
              <w:rPr>
                <w:rFonts w:ascii="楷体" w:hAnsi="楷体" w:cs="楷体" w:eastAsia="楷体"/>
                <w:sz w:val="21"/>
                <w:szCs w:val="21"/>
              </w:rPr>
            </w:pPr>
            <w:r>
              <w:rPr>
                <w:rFonts w:ascii="楷体" w:hAnsi="楷体" w:cs="楷体" w:eastAsia="楷体"/>
                <w:sz w:val="21"/>
                <w:szCs w:val="21"/>
              </w:rPr>
              <w:t>国有</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240" w:lineRule="auto"/>
              <w:ind w:left="198" w:right="0"/>
              <w:jc w:val="left"/>
              <w:rPr>
                <w:rFonts w:ascii="楷体" w:hAnsi="楷体" w:cs="楷体" w:eastAsia="楷体"/>
                <w:sz w:val="21"/>
                <w:szCs w:val="21"/>
              </w:rPr>
            </w:pPr>
            <w:r>
              <w:rPr>
                <w:rFonts w:ascii="楷体" w:hAnsi="楷体" w:cs="楷体" w:eastAsia="楷体"/>
                <w:sz w:val="21"/>
                <w:szCs w:val="21"/>
              </w:rPr>
              <w:t>其它</w:t>
            </w:r>
          </w:p>
        </w:tc>
        <w:tc>
          <w:tcPr>
            <w:tcW w:w="5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6"/>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228"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179" w:right="0"/>
              <w:jc w:val="left"/>
              <w:rPr>
                <w:rFonts w:ascii="楷体" w:hAnsi="楷体" w:cs="楷体" w:eastAsia="楷体"/>
                <w:sz w:val="21"/>
                <w:szCs w:val="21"/>
              </w:rPr>
            </w:pPr>
            <w:r>
              <w:rPr>
                <w:rFonts w:ascii="楷体" w:hAnsi="楷体" w:cs="楷体" w:eastAsia="楷体"/>
                <w:sz w:val="21"/>
                <w:szCs w:val="21"/>
              </w:rPr>
              <w:t>一次就</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40" w:hRule="exact"/>
        </w:trPr>
        <w:tc>
          <w:tcPr>
            <w:tcW w:w="555" w:type="dxa"/>
            <w:vMerge/>
            <w:tcBorders>
              <w:left w:val="single" w:sz="4" w:space="0" w:color="000000"/>
              <w:right w:val="single" w:sz="4" w:space="0" w:color="000000"/>
            </w:tcBorders>
          </w:tcPr>
          <w:p>
            <w:pPr/>
          </w:p>
        </w:tc>
        <w:tc>
          <w:tcPr>
            <w:tcW w:w="739" w:type="dxa"/>
            <w:tcBorders>
              <w:top w:val="nil" w:sz="6" w:space="0" w:color="auto"/>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tcBorders>
              <w:top w:val="nil" w:sz="6" w:space="0" w:color="auto"/>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Style w:val="TableParagraph"/>
              <w:spacing w:line="219" w:lineRule="exact"/>
              <w:ind w:left="120" w:right="0"/>
              <w:jc w:val="left"/>
              <w:rPr>
                <w:rFonts w:ascii="楷体" w:hAnsi="楷体" w:cs="楷体" w:eastAsia="楷体"/>
                <w:sz w:val="21"/>
                <w:szCs w:val="21"/>
              </w:rPr>
            </w:pPr>
            <w:r>
              <w:rPr>
                <w:rFonts w:ascii="楷体" w:hAnsi="楷体" w:cs="楷体" w:eastAsia="楷体"/>
                <w:sz w:val="21"/>
                <w:szCs w:val="21"/>
              </w:rPr>
              <w:t>资格证</w:t>
            </w:r>
          </w:p>
        </w:tc>
        <w:tc>
          <w:tcPr>
            <w:tcW w:w="935" w:type="dxa"/>
            <w:tcBorders>
              <w:top w:val="nil" w:sz="6" w:space="0" w:color="auto"/>
              <w:left w:val="nil" w:sz="6" w:space="0" w:color="auto"/>
              <w:bottom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253" w:right="0"/>
              <w:jc w:val="left"/>
              <w:rPr>
                <w:rFonts w:ascii="楷体" w:hAnsi="楷体" w:cs="楷体" w:eastAsia="楷体"/>
                <w:sz w:val="21"/>
                <w:szCs w:val="21"/>
              </w:rPr>
            </w:pPr>
            <w:r>
              <w:rPr>
                <w:rFonts w:ascii="楷体" w:hAnsi="楷体" w:cs="楷体" w:eastAsia="楷体"/>
                <w:sz w:val="21"/>
                <w:szCs w:val="21"/>
              </w:rPr>
              <w:t>业单位</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259" w:right="0"/>
              <w:jc w:val="left"/>
              <w:rPr>
                <w:rFonts w:ascii="楷体" w:hAnsi="楷体" w:cs="楷体" w:eastAsia="楷体"/>
                <w:sz w:val="21"/>
                <w:szCs w:val="21"/>
              </w:rPr>
            </w:pPr>
            <w:r>
              <w:rPr>
                <w:rFonts w:ascii="楷体" w:hAnsi="楷体" w:cs="楷体" w:eastAsia="楷体"/>
                <w:sz w:val="21"/>
                <w:szCs w:val="21"/>
              </w:rPr>
              <w:t>业单位</w:t>
            </w:r>
          </w:p>
        </w:tc>
        <w:tc>
          <w:tcPr>
            <w:tcW w:w="735" w:type="dxa"/>
            <w:vMerge/>
            <w:tcBorders>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28" w:hRule="exact"/>
        </w:trPr>
        <w:tc>
          <w:tcPr>
            <w:tcW w:w="555" w:type="dxa"/>
            <w:vMerge/>
            <w:tcBorders>
              <w:left w:val="single" w:sz="4" w:space="0" w:color="000000"/>
              <w:right w:val="single" w:sz="4" w:space="0" w:color="000000"/>
            </w:tcBorders>
          </w:tcPr>
          <w:p>
            <w:pPr/>
          </w:p>
        </w:tc>
        <w:tc>
          <w:tcPr>
            <w:tcW w:w="739" w:type="dxa"/>
            <w:vMerge w:val="restart"/>
            <w:tcBorders>
              <w:top w:val="nil" w:sz="6" w:space="0" w:color="auto"/>
              <w:left w:val="single" w:sz="4" w:space="0" w:color="000000"/>
              <w:right w:val="single" w:sz="4" w:space="0" w:color="000000"/>
            </w:tcBorders>
          </w:tcPr>
          <w:p>
            <w:pPr>
              <w:pStyle w:val="TableParagraph"/>
              <w:spacing w:line="219" w:lineRule="exact"/>
              <w:ind w:left="154" w:right="0"/>
              <w:jc w:val="left"/>
              <w:rPr>
                <w:rFonts w:ascii="楷体" w:hAnsi="楷体" w:cs="楷体" w:eastAsia="楷体"/>
                <w:sz w:val="21"/>
                <w:szCs w:val="21"/>
              </w:rPr>
            </w:pPr>
            <w:r>
              <w:rPr>
                <w:rFonts w:ascii="楷体" w:hAnsi="楷体" w:cs="楷体" w:eastAsia="楷体"/>
                <w:sz w:val="21"/>
                <w:szCs w:val="21"/>
              </w:rPr>
              <w:t>生数</w:t>
            </w:r>
          </w:p>
        </w:tc>
        <w:tc>
          <w:tcPr>
            <w:tcW w:w="855" w:type="dxa"/>
            <w:vMerge/>
            <w:tcBorders>
              <w:left w:val="single" w:sz="4" w:space="0" w:color="000000"/>
              <w:right w:val="single" w:sz="4" w:space="0" w:color="000000"/>
            </w:tcBorders>
          </w:tcPr>
          <w:p>
            <w:pPr/>
          </w:p>
        </w:tc>
        <w:tc>
          <w:tcPr>
            <w:tcW w:w="765" w:type="dxa"/>
            <w:vMerge w:val="restart"/>
            <w:tcBorders>
              <w:top w:val="nil" w:sz="6" w:space="0" w:color="auto"/>
              <w:left w:val="single" w:sz="4" w:space="0" w:color="000000"/>
              <w:right w:val="single" w:sz="4" w:space="0" w:color="000000"/>
            </w:tcBorders>
          </w:tcPr>
          <w:p>
            <w:pPr>
              <w:pStyle w:val="TableParagraph"/>
              <w:spacing w:line="219" w:lineRule="exact"/>
              <w:ind w:left="168" w:right="0"/>
              <w:jc w:val="left"/>
              <w:rPr>
                <w:rFonts w:ascii="楷体" w:hAnsi="楷体" w:cs="楷体" w:eastAsia="楷体"/>
                <w:sz w:val="21"/>
                <w:szCs w:val="21"/>
              </w:rPr>
            </w:pPr>
            <w:r>
              <w:rPr>
                <w:rFonts w:ascii="楷体" w:hAnsi="楷体" w:cs="楷体" w:eastAsia="楷体"/>
                <w:sz w:val="21"/>
                <w:szCs w:val="21"/>
              </w:rPr>
              <w:t>位率</w:t>
            </w: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283" w:right="0"/>
              <w:jc w:val="left"/>
              <w:rPr>
                <w:rFonts w:ascii="楷体" w:hAnsi="楷体" w:cs="楷体" w:eastAsia="楷体"/>
                <w:sz w:val="21"/>
                <w:szCs w:val="21"/>
              </w:rPr>
            </w:pPr>
            <w:r>
              <w:rPr>
                <w:rFonts w:ascii="楷体" w:hAnsi="楷体" w:cs="楷体" w:eastAsia="楷体"/>
                <w:sz w:val="21"/>
                <w:szCs w:val="21"/>
              </w:rPr>
              <w:t>业率</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tcBorders>
              <w:top w:val="nil" w:sz="6" w:space="0" w:color="auto"/>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tcBorders>
              <w:top w:val="nil" w:sz="6" w:space="0" w:color="auto"/>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360"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val="restart"/>
            <w:tcBorders>
              <w:top w:val="nil" w:sz="6" w:space="0" w:color="auto"/>
              <w:left w:val="single" w:sz="4" w:space="0" w:color="000000"/>
              <w:right w:val="nil" w:sz="6" w:space="0" w:color="auto"/>
            </w:tcBorders>
          </w:tcPr>
          <w:p>
            <w:pPr>
              <w:pStyle w:val="TableParagraph"/>
              <w:spacing w:line="219" w:lineRule="exact"/>
              <w:ind w:left="226" w:right="0"/>
              <w:jc w:val="left"/>
              <w:rPr>
                <w:rFonts w:ascii="楷体" w:hAnsi="楷体" w:cs="楷体" w:eastAsia="楷体"/>
                <w:sz w:val="21"/>
                <w:szCs w:val="21"/>
              </w:rPr>
            </w:pPr>
            <w:r>
              <w:rPr>
                <w:rFonts w:ascii="楷体" w:hAnsi="楷体" w:cs="楷体" w:eastAsia="楷体"/>
                <w:sz w:val="21"/>
                <w:szCs w:val="21"/>
              </w:rPr>
              <w:t>书率</w:t>
            </w:r>
          </w:p>
        </w:tc>
        <w:tc>
          <w:tcPr>
            <w:tcW w:w="935" w:type="dxa"/>
            <w:vMerge w:val="restart"/>
            <w:tcBorders>
              <w:top w:val="nil" w:sz="6" w:space="0" w:color="auto"/>
              <w:left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148" w:right="0"/>
              <w:jc w:val="left"/>
              <w:rPr>
                <w:rFonts w:ascii="楷体" w:hAnsi="楷体" w:cs="楷体" w:eastAsia="楷体"/>
                <w:sz w:val="21"/>
                <w:szCs w:val="21"/>
              </w:rPr>
            </w:pPr>
            <w:r>
              <w:rPr>
                <w:rFonts w:ascii="楷体" w:hAnsi="楷体" w:cs="楷体" w:eastAsia="楷体"/>
                <w:sz w:val="21"/>
                <w:szCs w:val="21"/>
              </w:rPr>
              <w:t>（教育部</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153" w:right="0"/>
              <w:jc w:val="left"/>
              <w:rPr>
                <w:rFonts w:ascii="楷体" w:hAnsi="楷体" w:cs="楷体" w:eastAsia="楷体"/>
                <w:sz w:val="21"/>
                <w:szCs w:val="21"/>
              </w:rPr>
            </w:pPr>
            <w:r>
              <w:rPr>
                <w:rFonts w:ascii="楷体" w:hAnsi="楷体" w:cs="楷体" w:eastAsia="楷体"/>
                <w:sz w:val="21"/>
                <w:szCs w:val="21"/>
              </w:rPr>
              <w:t>（非教育</w:t>
            </w:r>
          </w:p>
        </w:tc>
        <w:tc>
          <w:tcPr>
            <w:tcW w:w="735" w:type="dxa"/>
            <w:vMerge w:val="restart"/>
            <w:tcBorders>
              <w:top w:val="nil" w:sz="6" w:space="0" w:color="auto"/>
              <w:left w:val="single" w:sz="4" w:space="0" w:color="000000"/>
              <w:right w:val="single" w:sz="4" w:space="0" w:color="000000"/>
            </w:tcBorders>
          </w:tcPr>
          <w:p>
            <w:pPr>
              <w:pStyle w:val="TableParagraph"/>
              <w:spacing w:line="231" w:lineRule="exact"/>
              <w:ind w:left="152" w:right="0"/>
              <w:jc w:val="left"/>
              <w:rPr>
                <w:rFonts w:ascii="楷体" w:hAnsi="楷体" w:cs="楷体" w:eastAsia="楷体"/>
                <w:sz w:val="21"/>
                <w:szCs w:val="21"/>
              </w:rPr>
            </w:pPr>
            <w:r>
              <w:rPr>
                <w:rFonts w:ascii="楷体" w:hAnsi="楷体" w:cs="楷体" w:eastAsia="楷体"/>
                <w:sz w:val="21"/>
                <w:szCs w:val="21"/>
              </w:rPr>
              <w:t>企业</w:t>
            </w:r>
          </w:p>
        </w:tc>
        <w:tc>
          <w:tcPr>
            <w:tcW w:w="590" w:type="dxa"/>
            <w:vMerge/>
            <w:tcBorders>
              <w:left w:val="single" w:sz="4" w:space="0" w:color="000000"/>
              <w:right w:val="single" w:sz="4" w:space="0" w:color="000000"/>
            </w:tcBorders>
          </w:tcPr>
          <w:p>
            <w:pPr/>
          </w:p>
        </w:tc>
        <w:tc>
          <w:tcPr>
            <w:tcW w:w="827" w:type="dxa"/>
            <w:vMerge w:val="restart"/>
            <w:tcBorders>
              <w:top w:val="nil" w:sz="6" w:space="0" w:color="auto"/>
              <w:left w:val="single" w:sz="4" w:space="0" w:color="000000"/>
              <w:right w:val="single" w:sz="4" w:space="0" w:color="000000"/>
            </w:tcBorders>
          </w:tcPr>
          <w:p>
            <w:pPr>
              <w:pStyle w:val="TableParagraph"/>
              <w:spacing w:line="231" w:lineRule="exact"/>
              <w:ind w:left="198" w:right="0"/>
              <w:jc w:val="left"/>
              <w:rPr>
                <w:rFonts w:ascii="楷体" w:hAnsi="楷体" w:cs="楷体" w:eastAsia="楷体"/>
                <w:sz w:val="21"/>
                <w:szCs w:val="21"/>
              </w:rPr>
            </w:pPr>
            <w:r>
              <w:rPr>
                <w:rFonts w:ascii="楷体" w:hAnsi="楷体" w:cs="楷体" w:eastAsia="楷体"/>
                <w:sz w:val="21"/>
                <w:szCs w:val="21"/>
              </w:rPr>
              <w:t>企业</w:t>
            </w: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472"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829" w:type="dxa"/>
            <w:vMerge/>
            <w:tcBorders>
              <w:left w:val="single" w:sz="4" w:space="0" w:color="000000"/>
              <w:bottom w:val="single" w:sz="4" w:space="0" w:color="000000"/>
              <w:right w:val="nil" w:sz="6" w:space="0" w:color="auto"/>
            </w:tcBorders>
          </w:tcPr>
          <w:p>
            <w:pPr/>
          </w:p>
        </w:tc>
        <w:tc>
          <w:tcPr>
            <w:tcW w:w="935" w:type="dxa"/>
            <w:vMerge/>
            <w:tcBorders>
              <w:left w:val="nil" w:sz="6" w:space="0" w:color="auto"/>
              <w:bottom w:val="single" w:sz="4" w:space="0" w:color="000000"/>
              <w:right w:val="single" w:sz="4" w:space="0" w:color="000000"/>
            </w:tcBorders>
          </w:tcPr>
          <w:p>
            <w:pPr/>
          </w:p>
        </w:tc>
        <w:tc>
          <w:tcPr>
            <w:tcW w:w="623" w:type="dxa"/>
            <w:vMerge/>
            <w:tcBorders>
              <w:left w:val="single" w:sz="4" w:space="0" w:color="000000"/>
              <w:bottom w:val="single" w:sz="4" w:space="0" w:color="000000"/>
              <w:right w:val="single" w:sz="4" w:space="0" w:color="000000"/>
            </w:tcBorders>
          </w:tcPr>
          <w:p>
            <w:pPr/>
          </w:p>
        </w:tc>
        <w:tc>
          <w:tcPr>
            <w:tcW w:w="1144" w:type="dxa"/>
            <w:tcBorders>
              <w:top w:val="nil" w:sz="6" w:space="0" w:color="auto"/>
              <w:left w:val="single" w:sz="4" w:space="0" w:color="000000"/>
              <w:bottom w:val="single" w:sz="4" w:space="0" w:color="000000"/>
              <w:right w:val="nil" w:sz="6" w:space="0" w:color="auto"/>
            </w:tcBorders>
          </w:tcPr>
          <w:p>
            <w:pPr>
              <w:pStyle w:val="TableParagraph"/>
              <w:spacing w:line="240" w:lineRule="auto" w:before="64"/>
              <w:ind w:left="357" w:right="0"/>
              <w:jc w:val="left"/>
              <w:rPr>
                <w:rFonts w:ascii="楷体" w:hAnsi="楷体" w:cs="楷体" w:eastAsia="楷体"/>
                <w:sz w:val="21"/>
                <w:szCs w:val="21"/>
              </w:rPr>
            </w:pPr>
            <w:r>
              <w:rPr>
                <w:rFonts w:ascii="楷体" w:hAnsi="楷体" w:cs="楷体" w:eastAsia="楷体"/>
                <w:sz w:val="21"/>
                <w:szCs w:val="21"/>
              </w:rPr>
              <w:t>门）</w:t>
            </w:r>
          </w:p>
        </w:tc>
        <w:tc>
          <w:tcPr>
            <w:tcW w:w="1148" w:type="dxa"/>
            <w:tcBorders>
              <w:top w:val="nil" w:sz="6" w:space="0" w:color="auto"/>
              <w:left w:val="nil" w:sz="6" w:space="0" w:color="auto"/>
              <w:bottom w:val="single" w:sz="4" w:space="0" w:color="000000"/>
              <w:right w:val="single" w:sz="4" w:space="0" w:color="000000"/>
            </w:tcBorders>
          </w:tcPr>
          <w:p>
            <w:pPr>
              <w:pStyle w:val="TableParagraph"/>
              <w:spacing w:line="240" w:lineRule="auto" w:before="64"/>
              <w:ind w:left="259" w:right="0"/>
              <w:jc w:val="left"/>
              <w:rPr>
                <w:rFonts w:ascii="楷体" w:hAnsi="楷体" w:cs="楷体" w:eastAsia="楷体"/>
                <w:sz w:val="21"/>
                <w:szCs w:val="21"/>
              </w:rPr>
            </w:pPr>
            <w:r>
              <w:rPr>
                <w:rFonts w:ascii="楷体" w:hAnsi="楷体" w:cs="楷体" w:eastAsia="楷体"/>
                <w:sz w:val="21"/>
                <w:szCs w:val="21"/>
              </w:rPr>
              <w:t>部门）</w:t>
            </w:r>
          </w:p>
        </w:tc>
        <w:tc>
          <w:tcPr>
            <w:tcW w:w="735"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c>
          <w:tcPr>
            <w:tcW w:w="827" w:type="dxa"/>
            <w:vMerge/>
            <w:tcBorders>
              <w:left w:val="single" w:sz="4" w:space="0" w:color="000000"/>
              <w:bottom w:val="single" w:sz="4" w:space="0" w:color="000000"/>
              <w:right w:val="single" w:sz="4" w:space="0" w:color="000000"/>
            </w:tcBorders>
          </w:tcPr>
          <w:p>
            <w:pPr/>
          </w:p>
        </w:tc>
        <w:tc>
          <w:tcPr>
            <w:tcW w:w="549"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gridSpan w:val="2"/>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gridSpan w:val="2"/>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3"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3"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9" w:lineRule="exact"/>
        <w:ind w:left="1240" w:right="0"/>
        <w:jc w:val="left"/>
        <w:rPr>
          <w:rFonts w:ascii="微软雅黑" w:hAnsi="微软雅黑" w:cs="微软雅黑" w:eastAsia="微软雅黑"/>
        </w:rPr>
      </w:pPr>
      <w:r>
        <w:rPr>
          <w:rFonts w:ascii="微软雅黑" w:hAnsi="微软雅黑" w:cs="微软雅黑" w:eastAsia="微软雅黑"/>
        </w:rPr>
        <w:t>8.6 [社会声誉]</w:t>
      </w:r>
      <w:r>
        <w:rPr>
          <w:rFonts w:ascii="微软雅黑" w:hAnsi="微软雅黑" w:cs="微软雅黑" w:eastAsia="微软雅黑"/>
          <w:spacing w:val="45"/>
        </w:rPr>
        <w:t> </w:t>
      </w:r>
      <w:r>
        <w:rPr>
          <w:rFonts w:ascii="微软雅黑" w:hAnsi="微软雅黑" w:cs="微软雅黑" w:eastAsia="微软雅黑"/>
        </w:rPr>
        <w:t>毕业生社会声誉好，用人单位满意度高。</w:t>
      </w:r>
    </w:p>
    <w:p>
      <w:pPr>
        <w:pStyle w:val="BodyText"/>
        <w:spacing w:line="424" w:lineRule="auto" w:before="142"/>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pStyle w:val="Heading5"/>
        <w:spacing w:line="240" w:lineRule="auto" w:before="180"/>
        <w:ind w:left="1240" w:right="0"/>
        <w:jc w:val="left"/>
        <w:rPr>
          <w:b w:val="0"/>
          <w:bCs w:val="0"/>
        </w:rPr>
      </w:pPr>
      <w:bookmarkStart w:name="第二部分：主要问题" w:id="212"/>
      <w:bookmarkEnd w:id="212"/>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4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10"/>
        <w:rPr>
          <w:rFonts w:ascii="楷体" w:hAnsi="楷体" w:cs="楷体" w:eastAsia="楷体"/>
          <w:sz w:val="17"/>
          <w:szCs w:val="17"/>
        </w:rPr>
      </w:pPr>
    </w:p>
    <w:p>
      <w:pPr>
        <w:pStyle w:val="Heading5"/>
        <w:spacing w:line="240" w:lineRule="auto"/>
        <w:ind w:left="1240" w:right="0"/>
        <w:jc w:val="left"/>
        <w:rPr>
          <w:b w:val="0"/>
          <w:bCs w:val="0"/>
        </w:rPr>
      </w:pPr>
      <w:bookmarkStart w:name="第三部分：改进措施" w:id="213"/>
      <w:bookmarkEnd w:id="213"/>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before="0"/>
        <w:ind w:left="1240" w:right="0" w:firstLine="0"/>
        <w:jc w:val="left"/>
        <w:rPr>
          <w:rFonts w:ascii="楷体" w:hAnsi="楷体" w:cs="楷体" w:eastAsia="楷体"/>
          <w:sz w:val="21"/>
          <w:szCs w:val="21"/>
        </w:rPr>
      </w:pPr>
      <w:r>
        <w:rPr>
          <w:rFonts w:ascii="楷体" w:hAnsi="楷体" w:cs="楷体" w:eastAsia="楷体"/>
          <w:sz w:val="21"/>
          <w:szCs w:val="21"/>
        </w:rPr>
        <w:t>（请针对自评中发现的问题与不足，按标准条文明确清晰地描述采取的改进措施。认证专家将</w:t>
      </w:r>
    </w:p>
    <w:p>
      <w:pPr>
        <w:spacing w:after="0"/>
        <w:jc w:val="left"/>
        <w:rPr>
          <w:rFonts w:ascii="楷体" w:hAnsi="楷体" w:cs="楷体" w:eastAsia="楷体"/>
          <w:sz w:val="21"/>
          <w:szCs w:val="21"/>
        </w:rPr>
        <w:sectPr>
          <w:headerReference w:type="default" r:id="rId92"/>
          <w:footerReference w:type="default" r:id="rId93"/>
          <w:pgSz w:w="12240" w:h="15840"/>
          <w:pgMar w:header="0" w:footer="700" w:top="880" w:bottom="880" w:left="560" w:right="560"/>
          <w:pgNumType w:start="21"/>
        </w:sectPr>
      </w:pPr>
    </w:p>
    <w:p>
      <w:pPr>
        <w:spacing w:line="240" w:lineRule="auto" w:before="0"/>
        <w:rPr>
          <w:rFonts w:ascii="楷体" w:hAnsi="楷体" w:cs="楷体" w:eastAsia="楷体"/>
          <w:sz w:val="20"/>
          <w:szCs w:val="20"/>
        </w:rPr>
      </w:pPr>
    </w:p>
    <w:p>
      <w:pPr>
        <w:spacing w:line="240" w:lineRule="auto" w:before="8"/>
        <w:rPr>
          <w:rFonts w:ascii="楷体" w:hAnsi="楷体" w:cs="楷体" w:eastAsia="楷体"/>
          <w:sz w:val="14"/>
          <w:szCs w:val="14"/>
        </w:rPr>
      </w:pPr>
    </w:p>
    <w:p>
      <w:pPr>
        <w:spacing w:before="0"/>
        <w:ind w:left="220" w:right="0" w:firstLine="0"/>
        <w:jc w:val="left"/>
        <w:rPr>
          <w:rFonts w:ascii="楷体" w:hAnsi="楷体" w:cs="楷体" w:eastAsia="楷体"/>
          <w:sz w:val="21"/>
          <w:szCs w:val="21"/>
        </w:rPr>
      </w:pPr>
      <w:r>
        <w:rPr>
          <w:rFonts w:ascii="楷体" w:hAnsi="楷体" w:cs="楷体" w:eastAsia="楷体"/>
          <w:sz w:val="21"/>
          <w:szCs w:val="21"/>
        </w:rPr>
        <w:t>视改进情况作出评判）</w:t>
      </w:r>
    </w:p>
    <w:p>
      <w:pPr>
        <w:spacing w:line="240" w:lineRule="auto" w:before="11"/>
        <w:rPr>
          <w:rFonts w:ascii="楷体" w:hAnsi="楷体" w:cs="楷体" w:eastAsia="楷体"/>
          <w:sz w:val="16"/>
          <w:szCs w:val="16"/>
        </w:rPr>
      </w:pPr>
    </w:p>
    <w:p>
      <w:pPr>
        <w:pStyle w:val="Heading4"/>
        <w:spacing w:line="240" w:lineRule="auto"/>
        <w:ind w:left="220" w:right="0"/>
        <w:jc w:val="left"/>
        <w:rPr>
          <w:b w:val="0"/>
          <w:bCs w:val="0"/>
        </w:rPr>
      </w:pPr>
      <w:bookmarkStart w:name="附录 支撑材料清单" w:id="214"/>
      <w:bookmarkEnd w:id="214"/>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8"/>
              <w:ind w:right="0"/>
              <w:jc w:val="left"/>
              <w:rPr>
                <w:rFonts w:ascii="微软雅黑" w:hAnsi="微软雅黑" w:cs="微软雅黑" w:eastAsia="微软雅黑"/>
                <w:b/>
                <w:bCs/>
                <w:sz w:val="12"/>
                <w:szCs w:val="1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4"/>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3"/>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6"/>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5"/>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3"/>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94"/>
          <w:pgSz w:w="12240" w:h="15840"/>
          <w:pgMar w:header="773" w:footer="700" w:top="960" w:bottom="88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tcBorders>
              <w:top w:val="single" w:sz="4" w:space="0" w:color="000000"/>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18"/>
                <w:szCs w:val="18"/>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headerReference w:type="default" r:id="rId95"/>
          <w:pgSz w:w="12240" w:h="15840"/>
          <w:pgMar w:header="773" w:footer="700" w:top="960" w:bottom="860" w:left="1580" w:right="1580"/>
        </w:sectPr>
      </w:pPr>
    </w:p>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29"/>
          <w:szCs w:val="29"/>
        </w:rPr>
      </w:pPr>
    </w:p>
    <w:p>
      <w:pPr>
        <w:spacing w:line="621" w:lineRule="exact" w:before="0"/>
        <w:ind w:left="1041" w:right="1039" w:firstLine="0"/>
        <w:jc w:val="center"/>
        <w:rPr>
          <w:rFonts w:ascii="黑体" w:hAnsi="黑体" w:cs="黑体" w:eastAsia="黑体"/>
          <w:sz w:val="52"/>
          <w:szCs w:val="52"/>
        </w:rPr>
      </w:pPr>
      <w:r>
        <w:rPr>
          <w:rFonts w:ascii="黑体" w:hAnsi="黑体" w:cs="黑体" w:eastAsia="黑体"/>
          <w:sz w:val="52"/>
          <w:szCs w:val="52"/>
        </w:rPr>
        <w:t>普通高等学校师范类专业认证</w:t>
      </w:r>
    </w:p>
    <w:p>
      <w:pPr>
        <w:spacing w:before="411"/>
        <w:ind w:left="1039" w:right="1039" w:firstLine="0"/>
        <w:jc w:val="center"/>
        <w:rPr>
          <w:rFonts w:ascii="黑体" w:hAnsi="黑体" w:cs="黑体" w:eastAsia="黑体"/>
          <w:sz w:val="52"/>
          <w:szCs w:val="52"/>
        </w:rPr>
      </w:pPr>
      <w:bookmarkStart w:name="（学前教育第三级）" w:id="215"/>
      <w:bookmarkEnd w:id="215"/>
      <w:r>
        <w:rPr/>
      </w:r>
      <w:r>
        <w:rPr>
          <w:rFonts w:ascii="黑体" w:hAnsi="黑体" w:cs="黑体" w:eastAsia="黑体"/>
          <w:sz w:val="52"/>
          <w:szCs w:val="52"/>
        </w:rPr>
        <w:t>（学前教育第三级）</w:t>
      </w:r>
    </w:p>
    <w:p>
      <w:pPr>
        <w:spacing w:before="250"/>
        <w:ind w:left="1039" w:right="1039" w:firstLine="0"/>
        <w:jc w:val="center"/>
        <w:rPr>
          <w:rFonts w:ascii="黑体" w:hAnsi="黑体" w:cs="黑体" w:eastAsia="黑体"/>
          <w:sz w:val="72"/>
          <w:szCs w:val="72"/>
        </w:rPr>
      </w:pPr>
      <w:bookmarkStart w:name="自评报告" w:id="216"/>
      <w:bookmarkEnd w:id="216"/>
      <w:r>
        <w:rPr/>
      </w:r>
      <w:r>
        <w:rPr>
          <w:rFonts w:ascii="黑体" w:hAnsi="黑体" w:cs="黑体" w:eastAsia="黑体"/>
          <w:b/>
          <w:bCs/>
          <w:sz w:val="72"/>
          <w:szCs w:val="72"/>
        </w:rPr>
        <w:t>自评报告</w:t>
      </w:r>
      <w:r>
        <w:rPr>
          <w:rFonts w:ascii="黑体" w:hAnsi="黑体" w:cs="黑体" w:eastAsia="黑体"/>
          <w:sz w:val="72"/>
          <w:szCs w:val="72"/>
        </w:rPr>
      </w:r>
    </w:p>
    <w:p>
      <w:pPr>
        <w:spacing w:line="240" w:lineRule="auto" w:before="0"/>
        <w:rPr>
          <w:rFonts w:ascii="黑体" w:hAnsi="黑体" w:cs="黑体" w:eastAsia="黑体"/>
          <w:b/>
          <w:bCs/>
          <w:sz w:val="72"/>
          <w:szCs w:val="72"/>
        </w:rPr>
      </w:pPr>
    </w:p>
    <w:p>
      <w:pPr>
        <w:spacing w:line="240" w:lineRule="auto" w:before="0"/>
        <w:rPr>
          <w:rFonts w:ascii="黑体" w:hAnsi="黑体" w:cs="黑体" w:eastAsia="黑体"/>
          <w:b/>
          <w:bCs/>
          <w:sz w:val="86"/>
          <w:szCs w:val="86"/>
        </w:rPr>
      </w:pPr>
    </w:p>
    <w:p>
      <w:pPr>
        <w:spacing w:line="511" w:lineRule="auto" w:before="0"/>
        <w:ind w:left="1514" w:right="5699" w:firstLine="0"/>
        <w:jc w:val="left"/>
        <w:rPr>
          <w:rFonts w:ascii="黑体" w:hAnsi="黑体" w:cs="黑体" w:eastAsia="黑体"/>
          <w:sz w:val="28"/>
          <w:szCs w:val="28"/>
        </w:rPr>
      </w:pPr>
      <w:r>
        <w:rPr>
          <w:rFonts w:ascii="黑体" w:hAnsi="黑体" w:cs="黑体" w:eastAsia="黑体"/>
          <w:b/>
          <w:bCs/>
          <w:sz w:val="28"/>
          <w:szCs w:val="28"/>
        </w:rPr>
        <w:t>学校：</w:t>
      </w:r>
      <w:r>
        <w:rPr>
          <w:rFonts w:ascii="黑体" w:hAnsi="黑体" w:cs="黑体" w:eastAsia="黑体"/>
          <w:b/>
          <w:bCs/>
          <w:w w:val="99"/>
          <w:sz w:val="28"/>
          <w:szCs w:val="28"/>
        </w:rPr>
        <w:t> </w:t>
      </w:r>
      <w:r>
        <w:rPr>
          <w:rFonts w:ascii="黑体" w:hAnsi="黑体" w:cs="黑体" w:eastAsia="黑体"/>
          <w:b/>
          <w:bCs/>
          <w:sz w:val="28"/>
          <w:szCs w:val="28"/>
        </w:rPr>
        <w:t>专业：</w:t>
      </w:r>
      <w:r>
        <w:rPr>
          <w:rFonts w:ascii="黑体" w:hAnsi="黑体" w:cs="黑体" w:eastAsia="黑体"/>
          <w:b/>
          <w:bCs/>
          <w:w w:val="99"/>
          <w:sz w:val="28"/>
          <w:szCs w:val="28"/>
        </w:rPr>
        <w:t> </w:t>
      </w:r>
      <w:r>
        <w:rPr>
          <w:rFonts w:ascii="黑体" w:hAnsi="黑体" w:cs="黑体" w:eastAsia="黑体"/>
          <w:b/>
          <w:bCs/>
          <w:w w:val="95"/>
          <w:sz w:val="28"/>
          <w:szCs w:val="28"/>
        </w:rPr>
        <w:t>完成时间：</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w w:val="95"/>
          <w:sz w:val="28"/>
          <w:szCs w:val="28"/>
        </w:rPr>
        <w:t>联系电话：</w:t>
      </w:r>
      <w:r>
        <w:rPr>
          <w:rFonts w:ascii="黑体" w:hAnsi="黑体" w:cs="黑体" w:eastAsia="黑体"/>
          <w:b/>
          <w:bCs/>
          <w:spacing w:val="-69"/>
          <w:w w:val="95"/>
          <w:sz w:val="28"/>
          <w:szCs w:val="28"/>
        </w:rPr>
        <w:t> </w:t>
      </w:r>
      <w:r>
        <w:rPr>
          <w:rFonts w:ascii="黑体" w:hAnsi="黑体" w:cs="黑体" w:eastAsia="黑体"/>
          <w:b/>
          <w:bCs/>
          <w:spacing w:val="-69"/>
          <w:w w:val="95"/>
          <w:sz w:val="28"/>
          <w:szCs w:val="28"/>
        </w:rPr>
      </w:r>
      <w:r>
        <w:rPr>
          <w:rFonts w:ascii="黑体" w:hAnsi="黑体" w:cs="黑体" w:eastAsia="黑体"/>
          <w:b/>
          <w:bCs/>
          <w:sz w:val="28"/>
          <w:szCs w:val="28"/>
        </w:rPr>
        <w:t>电子邮件</w:t>
      </w:r>
      <w:r>
        <w:rPr>
          <w:rFonts w:ascii="黑体" w:hAnsi="黑体" w:cs="黑体" w:eastAsia="黑体"/>
          <w:sz w:val="28"/>
          <w:szCs w:val="28"/>
        </w:rPr>
      </w:r>
    </w:p>
    <w:p>
      <w:pPr>
        <w:spacing w:line="511" w:lineRule="auto" w:before="97"/>
        <w:ind w:left="1514" w:right="3731" w:firstLine="0"/>
        <w:jc w:val="left"/>
        <w:rPr>
          <w:rFonts w:ascii="黑体" w:hAnsi="黑体" w:cs="黑体" w:eastAsia="黑体"/>
          <w:sz w:val="28"/>
          <w:szCs w:val="28"/>
        </w:rPr>
      </w:pPr>
      <w:r>
        <w:rPr>
          <w:rFonts w:ascii="黑体" w:hAnsi="黑体" w:cs="黑体" w:eastAsia="黑体"/>
          <w:b/>
          <w:bCs/>
          <w:sz w:val="28"/>
          <w:szCs w:val="28"/>
        </w:rPr>
        <w:t>专业负责人签字：</w:t>
      </w:r>
      <w:r>
        <w:rPr>
          <w:rFonts w:ascii="黑体" w:hAnsi="黑体" w:cs="黑体" w:eastAsia="黑体"/>
          <w:b/>
          <w:bCs/>
          <w:w w:val="99"/>
          <w:sz w:val="28"/>
          <w:szCs w:val="28"/>
        </w:rPr>
        <w:t> </w:t>
      </w:r>
      <w:r>
        <w:rPr>
          <w:rFonts w:ascii="黑体" w:hAnsi="黑体" w:cs="黑体" w:eastAsia="黑体"/>
          <w:b/>
          <w:bCs/>
          <w:sz w:val="28"/>
          <w:szCs w:val="28"/>
        </w:rPr>
        <w:t>学校盖章：</w:t>
      </w:r>
      <w:r>
        <w:rPr>
          <w:rFonts w:ascii="黑体" w:hAnsi="黑体" w:cs="黑体" w:eastAsia="黑体"/>
          <w:sz w:val="28"/>
          <w:szCs w:val="28"/>
        </w:rPr>
      </w:r>
    </w:p>
    <w:p>
      <w:pPr>
        <w:spacing w:after="0" w:line="511" w:lineRule="auto"/>
        <w:jc w:val="left"/>
        <w:rPr>
          <w:rFonts w:ascii="黑体" w:hAnsi="黑体" w:cs="黑体" w:eastAsia="黑体"/>
          <w:sz w:val="28"/>
          <w:szCs w:val="28"/>
        </w:rPr>
        <w:sectPr>
          <w:headerReference w:type="default" r:id="rId96"/>
          <w:footerReference w:type="default" r:id="rId97"/>
          <w:pgSz w:w="12240" w:h="15840"/>
          <w:pgMar w:header="773" w:footer="0" w:top="960" w:bottom="280" w:left="1680" w:right="1680"/>
        </w:sectPr>
      </w:pPr>
    </w:p>
    <w:p>
      <w:pPr>
        <w:spacing w:line="240" w:lineRule="auto" w:before="0"/>
        <w:rPr>
          <w:rFonts w:ascii="黑体" w:hAnsi="黑体" w:cs="黑体" w:eastAsia="黑体"/>
          <w:b/>
          <w:bCs/>
          <w:sz w:val="20"/>
          <w:szCs w:val="20"/>
        </w:rPr>
      </w:pPr>
    </w:p>
    <w:p>
      <w:pPr>
        <w:spacing w:line="240" w:lineRule="auto" w:before="0"/>
        <w:rPr>
          <w:rFonts w:ascii="黑体" w:hAnsi="黑体" w:cs="黑体" w:eastAsia="黑体"/>
          <w:b/>
          <w:bCs/>
          <w:sz w:val="15"/>
          <w:szCs w:val="15"/>
        </w:rPr>
      </w:pPr>
    </w:p>
    <w:p>
      <w:pPr>
        <w:spacing w:line="539" w:lineRule="exact" w:before="0"/>
        <w:ind w:left="1039" w:right="1039" w:firstLine="0"/>
        <w:jc w:val="center"/>
        <w:rPr>
          <w:rFonts w:ascii="黑体" w:hAnsi="黑体" w:cs="黑体" w:eastAsia="黑体"/>
          <w:sz w:val="44"/>
          <w:szCs w:val="44"/>
        </w:rPr>
      </w:pPr>
      <w:r>
        <w:rPr>
          <w:rFonts w:ascii="黑体" w:hAnsi="黑体" w:cs="黑体" w:eastAsia="黑体"/>
          <w:sz w:val="44"/>
          <w:szCs w:val="44"/>
        </w:rPr>
        <w:t>自评报告目录</w:t>
      </w:r>
    </w:p>
    <w:p>
      <w:pPr>
        <w:pStyle w:val="BodyText"/>
        <w:tabs>
          <w:tab w:pos="8759" w:val="right" w:leader="dot"/>
        </w:tabs>
        <w:spacing w:line="240" w:lineRule="auto" w:before="786"/>
        <w:ind w:left="679" w:right="0"/>
        <w:jc w:val="left"/>
        <w:rPr>
          <w:rFonts w:ascii="Calibri" w:hAnsi="Calibri" w:cs="Calibri" w:eastAsia="Calibri"/>
        </w:rPr>
      </w:pPr>
      <w:hyperlink w:history="true" w:anchor="_bookmark0">
        <w:r>
          <w:rPr>
            <w:rFonts w:ascii="微软雅黑" w:hAnsi="微软雅黑" w:cs="微软雅黑" w:eastAsia="微软雅黑"/>
          </w:rPr>
          <w:t>0.背景信息</w:t>
        </w:r>
        <w:r>
          <w:rPr>
            <w:rFonts w:ascii="Times New Roman" w:hAnsi="Times New Roman" w:cs="Times New Roman" w:eastAsia="Times New Roman"/>
          </w:rPr>
          <w:tab/>
        </w:r>
        <w:r>
          <w:rPr>
            <w:rFonts w:ascii="Calibri" w:hAnsi="Calibri" w:cs="Calibri" w:eastAsia="Calibri"/>
          </w:rPr>
          <w:t>1</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
        <w:r>
          <w:rPr>
            <w:rFonts w:ascii="微软雅黑" w:hAnsi="微软雅黑" w:cs="微软雅黑" w:eastAsia="微软雅黑"/>
          </w:rPr>
          <w:t>标准 1</w:t>
        </w:r>
        <w:r>
          <w:rPr>
            <w:rFonts w:ascii="微软雅黑" w:hAnsi="微软雅黑" w:cs="微软雅黑" w:eastAsia="微软雅黑"/>
            <w:spacing w:val="-23"/>
          </w:rPr>
          <w:t> </w:t>
        </w:r>
        <w:r>
          <w:rPr>
            <w:rFonts w:ascii="微软雅黑" w:hAnsi="微软雅黑" w:cs="微软雅黑" w:eastAsia="微软雅黑"/>
          </w:rPr>
          <w:t>培养目标</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3</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5">
        <w:r>
          <w:rPr>
            <w:rFonts w:ascii="微软雅黑" w:hAnsi="微软雅黑" w:cs="微软雅黑" w:eastAsia="微软雅黑"/>
          </w:rPr>
          <w:t>标准 2</w:t>
        </w:r>
        <w:r>
          <w:rPr>
            <w:rFonts w:ascii="微软雅黑" w:hAnsi="微软雅黑" w:cs="微软雅黑" w:eastAsia="微软雅黑"/>
            <w:spacing w:val="-23"/>
          </w:rPr>
          <w:t> </w:t>
        </w:r>
        <w:r>
          <w:rPr>
            <w:rFonts w:ascii="微软雅黑" w:hAnsi="微软雅黑" w:cs="微软雅黑" w:eastAsia="微软雅黑"/>
          </w:rPr>
          <w:t>毕业要求</w:t>
        </w:r>
        <w:r>
          <w:rPr>
            <w:rFonts w:ascii="Times New Roman" w:hAnsi="Times New Roman" w:cs="Times New Roman" w:eastAsia="Times New Roman"/>
          </w:rPr>
          <w:tab/>
        </w:r>
        <w:r>
          <w:rPr>
            <w:rFonts w:ascii="Calibri" w:hAnsi="Calibri" w:cs="Calibri" w:eastAsia="Calibri"/>
          </w:rPr>
          <w:t>3</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6</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9">
        <w:r>
          <w:rPr>
            <w:rFonts w:ascii="微软雅黑" w:hAnsi="微软雅黑" w:cs="微软雅黑" w:eastAsia="微软雅黑"/>
          </w:rPr>
          <w:t>标准 3</w:t>
        </w:r>
        <w:r>
          <w:rPr>
            <w:rFonts w:ascii="微软雅黑" w:hAnsi="微软雅黑" w:cs="微软雅黑" w:eastAsia="微软雅黑"/>
            <w:spacing w:val="-23"/>
          </w:rPr>
          <w:t> </w:t>
        </w:r>
        <w:r>
          <w:rPr>
            <w:rFonts w:ascii="微软雅黑" w:hAnsi="微软雅黑" w:cs="微软雅黑" w:eastAsia="微软雅黑"/>
          </w:rPr>
          <w:t>课程与教学</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6</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9</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13">
        <w:r>
          <w:rPr>
            <w:rFonts w:ascii="微软雅黑" w:hAnsi="微软雅黑" w:cs="微软雅黑" w:eastAsia="微软雅黑"/>
          </w:rPr>
          <w:t>标准 4</w:t>
        </w:r>
        <w:r>
          <w:rPr>
            <w:rFonts w:ascii="微软雅黑" w:hAnsi="微软雅黑" w:cs="微软雅黑" w:eastAsia="微软雅黑"/>
            <w:spacing w:val="-23"/>
          </w:rPr>
          <w:t> </w:t>
        </w:r>
        <w:r>
          <w:rPr>
            <w:rFonts w:ascii="微软雅黑" w:hAnsi="微软雅黑" w:cs="微软雅黑" w:eastAsia="微软雅黑"/>
          </w:rPr>
          <w:t>合作与实践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14">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5">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6">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12</w:t>
        </w:r>
      </w:hyperlink>
    </w:p>
    <w:p>
      <w:pPr>
        <w:pStyle w:val="BodyText"/>
        <w:tabs>
          <w:tab w:pos="8759" w:val="right" w:leader="dot"/>
        </w:tabs>
        <w:spacing w:line="240" w:lineRule="auto" w:before="85"/>
        <w:ind w:left="679" w:right="0"/>
        <w:jc w:val="left"/>
        <w:rPr>
          <w:rFonts w:ascii="Calibri" w:hAnsi="Calibri" w:cs="Calibri" w:eastAsia="Calibri"/>
        </w:rPr>
      </w:pPr>
      <w:hyperlink w:history="true" w:anchor="_bookmark17">
        <w:r>
          <w:rPr>
            <w:rFonts w:ascii="微软雅黑" w:hAnsi="微软雅黑" w:cs="微软雅黑" w:eastAsia="微软雅黑"/>
          </w:rPr>
          <w:t>标准 5</w:t>
        </w:r>
        <w:r>
          <w:rPr>
            <w:rFonts w:ascii="微软雅黑" w:hAnsi="微软雅黑" w:cs="微软雅黑" w:eastAsia="微软雅黑"/>
            <w:spacing w:val="-23"/>
          </w:rPr>
          <w:t> </w:t>
        </w:r>
        <w:r>
          <w:rPr>
            <w:rFonts w:ascii="微软雅黑" w:hAnsi="微软雅黑" w:cs="微软雅黑" w:eastAsia="微软雅黑"/>
          </w:rPr>
          <w:t>师资队伍</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8">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19">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0">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15</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1">
        <w:r>
          <w:rPr>
            <w:rFonts w:ascii="微软雅黑" w:hAnsi="微软雅黑" w:cs="微软雅黑" w:eastAsia="微软雅黑"/>
          </w:rPr>
          <w:t>标准 6</w:t>
        </w:r>
        <w:r>
          <w:rPr>
            <w:rFonts w:ascii="微软雅黑" w:hAnsi="微软雅黑" w:cs="微软雅黑" w:eastAsia="微软雅黑"/>
            <w:spacing w:val="-23"/>
          </w:rPr>
          <w:t> </w:t>
        </w:r>
        <w:r>
          <w:rPr>
            <w:rFonts w:ascii="微软雅黑" w:hAnsi="微软雅黑" w:cs="微软雅黑" w:eastAsia="微软雅黑"/>
          </w:rPr>
          <w:t>支持条件</w:t>
        </w:r>
        <w:r>
          <w:rPr>
            <w:rFonts w:ascii="Times New Roman" w:hAnsi="Times New Roman" w:cs="Times New Roman" w:eastAsia="Times New Roman"/>
          </w:rPr>
          <w:tab/>
        </w:r>
        <w:r>
          <w:rPr>
            <w:rFonts w:ascii="Calibri" w:hAnsi="Calibri" w:cs="Calibri" w:eastAsia="Calibri"/>
          </w:rPr>
          <w:t>15</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2">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15</w:t>
        </w:r>
      </w:hyperlink>
    </w:p>
    <w:p>
      <w:pPr>
        <w:spacing w:after="0" w:line="240" w:lineRule="auto"/>
        <w:jc w:val="left"/>
        <w:rPr>
          <w:rFonts w:ascii="Calibri" w:hAnsi="Calibri" w:cs="Calibri" w:eastAsia="Calibri"/>
        </w:rPr>
        <w:sectPr>
          <w:headerReference w:type="default" r:id="rId98"/>
          <w:footerReference w:type="default" r:id="rId99"/>
          <w:pgSz w:w="12240" w:h="15840"/>
          <w:pgMar w:header="773" w:footer="0" w:top="960" w:bottom="280" w:left="1680" w:right="1680"/>
        </w:sectPr>
      </w:pPr>
    </w:p>
    <w:p>
      <w:pPr>
        <w:pStyle w:val="BodyText"/>
        <w:tabs>
          <w:tab w:pos="8761" w:val="right" w:leader="dot"/>
        </w:tabs>
        <w:spacing w:line="240" w:lineRule="auto" w:before="435"/>
        <w:ind w:left="955" w:right="0"/>
        <w:jc w:val="left"/>
        <w:rPr>
          <w:rFonts w:ascii="Calibri" w:hAnsi="Calibri" w:cs="Calibri" w:eastAsia="Calibri"/>
        </w:rPr>
      </w:pPr>
      <w:hyperlink w:history="true" w:anchor="_bookmark23">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4">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17</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5">
        <w:r>
          <w:rPr>
            <w:rFonts w:ascii="微软雅黑" w:hAnsi="微软雅黑" w:cs="微软雅黑" w:eastAsia="微软雅黑"/>
          </w:rPr>
          <w:t>标准 7</w:t>
        </w:r>
        <w:r>
          <w:rPr>
            <w:rFonts w:ascii="微软雅黑" w:hAnsi="微软雅黑" w:cs="微软雅黑" w:eastAsia="微软雅黑"/>
            <w:spacing w:val="-23"/>
          </w:rPr>
          <w:t> </w:t>
        </w:r>
        <w:r>
          <w:rPr>
            <w:rFonts w:ascii="微软雅黑" w:hAnsi="微软雅黑" w:cs="微软雅黑" w:eastAsia="微软雅黑"/>
          </w:rPr>
          <w:t>质量保障</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6">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17</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27">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19</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28">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20</w:t>
        </w:r>
      </w:hyperlink>
    </w:p>
    <w:p>
      <w:pPr>
        <w:pStyle w:val="BodyText"/>
        <w:tabs>
          <w:tab w:pos="8759" w:val="right" w:leader="dot"/>
        </w:tabs>
        <w:spacing w:line="240" w:lineRule="auto" w:before="83"/>
        <w:ind w:left="679" w:right="0"/>
        <w:jc w:val="left"/>
        <w:rPr>
          <w:rFonts w:ascii="Calibri" w:hAnsi="Calibri" w:cs="Calibri" w:eastAsia="Calibri"/>
        </w:rPr>
      </w:pPr>
      <w:hyperlink w:history="true" w:anchor="_bookmark29">
        <w:r>
          <w:rPr>
            <w:rFonts w:ascii="微软雅黑" w:hAnsi="微软雅黑" w:cs="微软雅黑" w:eastAsia="微软雅黑"/>
          </w:rPr>
          <w:t>标准 8</w:t>
        </w:r>
        <w:r>
          <w:rPr>
            <w:rFonts w:ascii="微软雅黑" w:hAnsi="微软雅黑" w:cs="微软雅黑" w:eastAsia="微软雅黑"/>
            <w:spacing w:val="-23"/>
          </w:rPr>
          <w:t> </w:t>
        </w:r>
        <w:r>
          <w:rPr>
            <w:rFonts w:ascii="微软雅黑" w:hAnsi="微软雅黑" w:cs="微软雅黑" w:eastAsia="微软雅黑"/>
          </w:rPr>
          <w:t>学生发展</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5"/>
        <w:ind w:left="955" w:right="0"/>
        <w:jc w:val="left"/>
        <w:rPr>
          <w:rFonts w:ascii="Calibri" w:hAnsi="Calibri" w:cs="Calibri" w:eastAsia="Calibri"/>
        </w:rPr>
      </w:pPr>
      <w:hyperlink w:history="true" w:anchor="_bookmark30">
        <w:r>
          <w:rPr>
            <w:rFonts w:ascii="微软雅黑" w:hAnsi="微软雅黑" w:cs="微软雅黑" w:eastAsia="微软雅黑"/>
          </w:rPr>
          <w:t>第一部分：达标情况</w:t>
        </w:r>
        <w:r>
          <w:rPr>
            <w:rFonts w:ascii="Times New Roman" w:hAnsi="Times New Roman" w:cs="Times New Roman" w:eastAsia="Times New Roman"/>
          </w:rPr>
          <w:tab/>
        </w:r>
        <w:r>
          <w:rPr>
            <w:rFonts w:ascii="Calibri" w:hAnsi="Calibri" w:cs="Calibri" w:eastAsia="Calibri"/>
          </w:rPr>
          <w:t>20</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1">
        <w:r>
          <w:rPr>
            <w:rFonts w:ascii="微软雅黑" w:hAnsi="微软雅黑" w:cs="微软雅黑" w:eastAsia="微软雅黑"/>
          </w:rPr>
          <w:t>第二部分：主要问题</w:t>
        </w:r>
        <w:r>
          <w:rPr>
            <w:rFonts w:ascii="Times New Roman" w:hAnsi="Times New Roman" w:cs="Times New Roman" w:eastAsia="Times New Roman"/>
          </w:rPr>
          <w:tab/>
        </w:r>
        <w:r>
          <w:rPr>
            <w:rFonts w:ascii="Calibri" w:hAnsi="Calibri" w:cs="Calibri" w:eastAsia="Calibri"/>
          </w:rPr>
          <w:t>22</w:t>
        </w:r>
      </w:hyperlink>
    </w:p>
    <w:p>
      <w:pPr>
        <w:pStyle w:val="BodyText"/>
        <w:tabs>
          <w:tab w:pos="8761" w:val="right" w:leader="dot"/>
        </w:tabs>
        <w:spacing w:line="240" w:lineRule="auto" w:before="83"/>
        <w:ind w:left="955" w:right="0"/>
        <w:jc w:val="left"/>
        <w:rPr>
          <w:rFonts w:ascii="Calibri" w:hAnsi="Calibri" w:cs="Calibri" w:eastAsia="Calibri"/>
        </w:rPr>
      </w:pPr>
      <w:hyperlink w:history="true" w:anchor="_bookmark32">
        <w:r>
          <w:rPr>
            <w:rFonts w:ascii="微软雅黑" w:hAnsi="微软雅黑" w:cs="微软雅黑" w:eastAsia="微软雅黑"/>
          </w:rPr>
          <w:t>第三部分：改进措施</w:t>
        </w:r>
        <w:r>
          <w:rPr>
            <w:rFonts w:ascii="Times New Roman" w:hAnsi="Times New Roman" w:cs="Times New Roman" w:eastAsia="Times New Roman"/>
          </w:rPr>
          <w:tab/>
        </w:r>
        <w:r>
          <w:rPr>
            <w:rFonts w:ascii="Calibri" w:hAnsi="Calibri" w:cs="Calibri" w:eastAsia="Calibri"/>
          </w:rPr>
          <w:t>23</w:t>
        </w:r>
      </w:hyperlink>
    </w:p>
    <w:p>
      <w:pPr>
        <w:pStyle w:val="BodyText"/>
        <w:tabs>
          <w:tab w:pos="8761" w:val="right" w:leader="dot"/>
        </w:tabs>
        <w:spacing w:line="240" w:lineRule="auto" w:before="85"/>
        <w:ind w:left="679" w:right="0"/>
        <w:jc w:val="left"/>
        <w:rPr>
          <w:rFonts w:ascii="Calibri" w:hAnsi="Calibri" w:cs="Calibri" w:eastAsia="Calibri"/>
        </w:rPr>
      </w:pPr>
      <w:hyperlink w:history="true" w:anchor="_bookmark33">
        <w:r>
          <w:rPr>
            <w:rFonts w:ascii="微软雅黑" w:hAnsi="微软雅黑" w:cs="微软雅黑" w:eastAsia="微软雅黑"/>
          </w:rPr>
          <w:t>附录</w:t>
        </w:r>
        <w:r>
          <w:rPr>
            <w:rFonts w:ascii="微软雅黑" w:hAnsi="微软雅黑" w:cs="微软雅黑" w:eastAsia="微软雅黑"/>
            <w:spacing w:val="48"/>
          </w:rPr>
          <w:t> </w:t>
        </w:r>
        <w:r>
          <w:rPr>
            <w:rFonts w:ascii="微软雅黑" w:hAnsi="微软雅黑" w:cs="微软雅黑" w:eastAsia="微软雅黑"/>
          </w:rPr>
          <w:t>支撑材料清单</w:t>
        </w:r>
        <w:r>
          <w:rPr>
            <w:rFonts w:ascii="Times New Roman" w:hAnsi="Times New Roman" w:cs="Times New Roman" w:eastAsia="Times New Roman"/>
          </w:rPr>
          <w:tab/>
        </w:r>
        <w:r>
          <w:rPr>
            <w:rFonts w:ascii="Calibri" w:hAnsi="Calibri" w:cs="Calibri" w:eastAsia="Calibri"/>
          </w:rPr>
          <w:t>23</w:t>
        </w:r>
      </w:hyperlink>
    </w:p>
    <w:p>
      <w:pPr>
        <w:spacing w:after="0" w:line="240" w:lineRule="auto"/>
        <w:jc w:val="left"/>
        <w:rPr>
          <w:rFonts w:ascii="Calibri" w:hAnsi="Calibri" w:cs="Calibri" w:eastAsia="Calibri"/>
        </w:rPr>
        <w:sectPr>
          <w:headerReference w:type="default" r:id="rId100"/>
          <w:footerReference w:type="default" r:id="rId101"/>
          <w:pgSz w:w="12240" w:h="15840"/>
          <w:pgMar w:header="773" w:footer="0" w:top="960" w:bottom="280" w:left="1680" w:right="1680"/>
        </w:sectPr>
      </w:pPr>
    </w:p>
    <w:p>
      <w:pPr>
        <w:spacing w:line="240" w:lineRule="auto" w:before="1"/>
        <w:rPr>
          <w:rFonts w:ascii="Calibri" w:hAnsi="Calibri" w:cs="Calibri" w:eastAsia="Calibri"/>
          <w:sz w:val="40"/>
          <w:szCs w:val="40"/>
        </w:rPr>
      </w:pPr>
    </w:p>
    <w:p>
      <w:pPr>
        <w:pStyle w:val="Heading4"/>
        <w:spacing w:line="240" w:lineRule="auto"/>
        <w:ind w:left="220" w:right="0"/>
        <w:jc w:val="both"/>
        <w:rPr>
          <w:b w:val="0"/>
          <w:bCs w:val="0"/>
        </w:rPr>
      </w:pPr>
      <w:bookmarkStart w:name="0.背景信息" w:id="217"/>
      <w:bookmarkEnd w:id="217"/>
      <w:r>
        <w:rPr>
          <w:b w:val="0"/>
          <w:bCs w:val="0"/>
        </w:rPr>
      </w:r>
      <w:r>
        <w:rPr/>
        <w:t>0.背景信息</w:t>
      </w:r>
      <w:r>
        <w:rPr>
          <w:b w:val="0"/>
          <w:bCs w:val="0"/>
        </w:rPr>
      </w:r>
    </w:p>
    <w:p>
      <w:pPr>
        <w:spacing w:line="240" w:lineRule="auto" w:before="9"/>
        <w:rPr>
          <w:rFonts w:ascii="微软雅黑" w:hAnsi="微软雅黑" w:cs="微软雅黑" w:eastAsia="微软雅黑"/>
          <w:b/>
          <w:bCs/>
          <w:sz w:val="29"/>
          <w:szCs w:val="29"/>
        </w:rPr>
      </w:pPr>
    </w:p>
    <w:tbl>
      <w:tblPr>
        <w:tblW w:w="0" w:type="auto"/>
        <w:jc w:val="left"/>
        <w:tblInd w:w="107" w:type="dxa"/>
        <w:tblLayout w:type="fixed"/>
        <w:tblCellMar>
          <w:top w:w="0" w:type="dxa"/>
          <w:left w:w="0" w:type="dxa"/>
          <w:bottom w:w="0" w:type="dxa"/>
          <w:right w:w="0" w:type="dxa"/>
        </w:tblCellMar>
        <w:tblLook w:val="01E0"/>
      </w:tblPr>
      <w:tblGrid>
        <w:gridCol w:w="1464"/>
        <w:gridCol w:w="1544"/>
        <w:gridCol w:w="1225"/>
        <w:gridCol w:w="1624"/>
        <w:gridCol w:w="2331"/>
      </w:tblGrid>
      <w:tr>
        <w:trPr>
          <w:trHeight w:val="442" w:hRule="exact"/>
        </w:trPr>
        <w:tc>
          <w:tcPr>
            <w:tcW w:w="1464" w:type="dxa"/>
            <w:vMerge w:val="restart"/>
            <w:tcBorders>
              <w:top w:val="single" w:sz="4" w:space="0" w:color="000000"/>
              <w:left w:val="single" w:sz="4" w:space="0" w:color="000000"/>
              <w:right w:val="single" w:sz="4" w:space="0" w:color="000000"/>
            </w:tcBorders>
          </w:tcPr>
          <w:p>
            <w:pPr>
              <w:pStyle w:val="TableParagraph"/>
              <w:spacing w:line="240" w:lineRule="auto" w:before="3"/>
              <w:ind w:right="0"/>
              <w:jc w:val="left"/>
              <w:rPr>
                <w:rFonts w:ascii="微软雅黑" w:hAnsi="微软雅黑" w:cs="微软雅黑" w:eastAsia="微软雅黑"/>
                <w:b/>
                <w:bCs/>
                <w:sz w:val="28"/>
                <w:szCs w:val="28"/>
              </w:rPr>
            </w:pPr>
          </w:p>
          <w:p>
            <w:pPr>
              <w:pStyle w:val="TableParagraph"/>
              <w:spacing w:line="240" w:lineRule="auto"/>
              <w:ind w:left="201" w:right="0"/>
              <w:jc w:val="left"/>
              <w:rPr>
                <w:rFonts w:ascii="楷体" w:hAnsi="楷体" w:cs="楷体" w:eastAsia="楷体"/>
                <w:sz w:val="21"/>
                <w:szCs w:val="21"/>
              </w:rPr>
            </w:pPr>
            <w:r>
              <w:rPr>
                <w:rFonts w:ascii="楷体" w:hAnsi="楷体" w:cs="楷体" w:eastAsia="楷体"/>
                <w:sz w:val="21"/>
                <w:szCs w:val="21"/>
              </w:rPr>
              <w:t>专业联系人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姓名</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386" w:right="0"/>
              <w:jc w:val="left"/>
              <w:rPr>
                <w:rFonts w:ascii="楷体" w:hAnsi="楷体" w:cs="楷体" w:eastAsia="楷体"/>
                <w:sz w:val="21"/>
                <w:szCs w:val="21"/>
              </w:rPr>
            </w:pPr>
            <w:r>
              <w:rPr>
                <w:rFonts w:ascii="楷体" w:hAnsi="楷体" w:cs="楷体" w:eastAsia="楷体"/>
                <w:sz w:val="21"/>
                <w:szCs w:val="21"/>
              </w:rPr>
              <w:t>电子邮件</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1"/>
              <w:jc w:val="center"/>
              <w:rPr>
                <w:rFonts w:ascii="楷体" w:hAnsi="楷体" w:cs="楷体" w:eastAsia="楷体"/>
                <w:sz w:val="21"/>
                <w:szCs w:val="21"/>
              </w:rPr>
            </w:pPr>
            <w:r>
              <w:rPr>
                <w:rFonts w:ascii="楷体" w:hAnsi="楷体" w:cs="楷体" w:eastAsia="楷体"/>
                <w:sz w:val="21"/>
                <w:szCs w:val="21"/>
              </w:rPr>
              <w:t>电话</w:t>
            </w:r>
          </w:p>
        </w:tc>
        <w:tc>
          <w:tcPr>
            <w:tcW w:w="1225" w:type="dxa"/>
            <w:tcBorders>
              <w:top w:val="single" w:sz="4" w:space="0" w:color="000000"/>
              <w:left w:val="single" w:sz="4" w:space="0" w:color="000000"/>
              <w:bottom w:val="single" w:sz="4" w:space="0" w:color="000000"/>
              <w:right w:val="single" w:sz="4" w:space="0" w:color="000000"/>
            </w:tcBorders>
          </w:tcPr>
          <w:p>
            <w:pPr/>
          </w:p>
        </w:tc>
        <w:tc>
          <w:tcPr>
            <w:tcW w:w="16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楷体" w:hAnsi="楷体" w:cs="楷体" w:eastAsia="楷体"/>
                <w:sz w:val="21"/>
                <w:szCs w:val="21"/>
              </w:rPr>
            </w:pPr>
            <w:r>
              <w:rPr>
                <w:rFonts w:ascii="楷体" w:hAnsi="楷体" w:cs="楷体" w:eastAsia="楷体"/>
                <w:sz w:val="21"/>
                <w:szCs w:val="21"/>
              </w:rPr>
              <w:t>手机</w:t>
            </w:r>
          </w:p>
        </w:tc>
        <w:tc>
          <w:tcPr>
            <w:tcW w:w="2331" w:type="dxa"/>
            <w:tcBorders>
              <w:top w:val="single" w:sz="4" w:space="0" w:color="000000"/>
              <w:left w:val="single" w:sz="4" w:space="0" w:color="000000"/>
              <w:bottom w:val="single" w:sz="4" w:space="0" w:color="000000"/>
              <w:right w:val="single" w:sz="4" w:space="0" w:color="000000"/>
            </w:tcBorders>
          </w:tcPr>
          <w:p>
            <w:pPr/>
          </w:p>
        </w:tc>
      </w:tr>
      <w:tr>
        <w:trPr>
          <w:trHeight w:val="442" w:hRule="exact"/>
        </w:trPr>
        <w:tc>
          <w:tcPr>
            <w:tcW w:w="1464" w:type="dxa"/>
            <w:vMerge/>
            <w:tcBorders>
              <w:left w:val="single" w:sz="4" w:space="0" w:color="000000"/>
              <w:bottom w:val="single" w:sz="4" w:space="0" w:color="000000"/>
              <w:right w:val="single" w:sz="4" w:space="0" w:color="000000"/>
            </w:tcBorders>
          </w:tcPr>
          <w:p>
            <w:pP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347" w:right="0"/>
              <w:jc w:val="left"/>
              <w:rPr>
                <w:rFonts w:ascii="楷体" w:hAnsi="楷体" w:cs="楷体" w:eastAsia="楷体"/>
                <w:sz w:val="21"/>
                <w:szCs w:val="21"/>
              </w:rPr>
            </w:pPr>
            <w:r>
              <w:rPr>
                <w:rFonts w:ascii="楷体" w:hAnsi="楷体" w:cs="楷体" w:eastAsia="楷体"/>
                <w:sz w:val="21"/>
                <w:szCs w:val="21"/>
              </w:rPr>
              <w:t>通信地址</w:t>
            </w:r>
          </w:p>
        </w:tc>
        <w:tc>
          <w:tcPr>
            <w:tcW w:w="51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02" w:right="0"/>
              <w:jc w:val="left"/>
              <w:rPr>
                <w:rFonts w:ascii="楷体" w:hAnsi="楷体" w:cs="楷体" w:eastAsia="楷体"/>
                <w:sz w:val="21"/>
                <w:szCs w:val="21"/>
              </w:rPr>
            </w:pPr>
            <w:r>
              <w:rPr>
                <w:rFonts w:ascii="楷体" w:hAnsi="楷体" w:cs="楷体" w:eastAsia="楷体"/>
                <w:sz w:val="21"/>
                <w:szCs w:val="21"/>
              </w:rPr>
              <w:t>（邮编）</w:t>
            </w:r>
          </w:p>
        </w:tc>
      </w:tr>
    </w:tbl>
    <w:p>
      <w:pPr>
        <w:spacing w:line="240" w:lineRule="auto" w:before="11"/>
        <w:rPr>
          <w:rFonts w:ascii="微软雅黑" w:hAnsi="微软雅黑" w:cs="微软雅黑" w:eastAsia="微软雅黑"/>
          <w:b/>
          <w:bCs/>
          <w:sz w:val="33"/>
          <w:szCs w:val="33"/>
        </w:rPr>
      </w:pPr>
    </w:p>
    <w:p>
      <w:pPr>
        <w:pStyle w:val="BodyText"/>
        <w:spacing w:line="240" w:lineRule="auto"/>
        <w:ind w:left="220" w:right="0"/>
        <w:jc w:val="both"/>
      </w:pPr>
      <w:r>
        <w:rPr/>
        <w:t>①该专业提供的学位、学制，专业开设时间。</w:t>
      </w:r>
    </w:p>
    <w:p>
      <w:pPr>
        <w:spacing w:line="240" w:lineRule="auto" w:before="8"/>
        <w:rPr>
          <w:rFonts w:ascii="华文楷体" w:hAnsi="华文楷体" w:cs="华文楷体" w:eastAsia="华文楷体"/>
          <w:sz w:val="18"/>
          <w:szCs w:val="18"/>
        </w:rPr>
      </w:pPr>
    </w:p>
    <w:p>
      <w:pPr>
        <w:pStyle w:val="BodyText"/>
        <w:spacing w:line="240" w:lineRule="auto"/>
        <w:ind w:left="220" w:right="0"/>
        <w:jc w:val="both"/>
      </w:pPr>
      <w:r>
        <w:rPr/>
        <w:t>②专业所在学校的简介以及本专业发展沿革简述（这一部分限 500</w:t>
      </w:r>
      <w:r>
        <w:rPr>
          <w:spacing w:val="-3"/>
        </w:rPr>
        <w:t> </w:t>
      </w:r>
      <w:r>
        <w:rPr>
          <w:spacing w:val="-24"/>
        </w:rPr>
        <w:t>字以内）。</w:t>
      </w:r>
    </w:p>
    <w:p>
      <w:pPr>
        <w:spacing w:line="240" w:lineRule="auto" w:before="8"/>
        <w:rPr>
          <w:rFonts w:ascii="华文楷体" w:hAnsi="华文楷体" w:cs="华文楷体" w:eastAsia="华文楷体"/>
          <w:sz w:val="18"/>
          <w:szCs w:val="18"/>
        </w:rPr>
      </w:pPr>
    </w:p>
    <w:p>
      <w:pPr>
        <w:pStyle w:val="BodyText"/>
        <w:spacing w:line="424" w:lineRule="auto"/>
        <w:ind w:left="220" w:right="119"/>
        <w:jc w:val="both"/>
      </w:pPr>
      <w:r>
        <w:rPr/>
        <w:t>③本专业以前参加认证的情况（如果不是第一次认证，在附件中提供上次的认证意 </w:t>
      </w:r>
      <w:r>
        <w:rPr>
          <w:spacing w:val="-15"/>
        </w:rPr>
        <w:t>见与改进报告）。</w:t>
      </w:r>
    </w:p>
    <w:p>
      <w:pPr>
        <w:spacing w:line="240" w:lineRule="auto" w:before="1"/>
        <w:rPr>
          <w:rFonts w:ascii="华文楷体" w:hAnsi="华文楷体" w:cs="华文楷体" w:eastAsia="华文楷体"/>
          <w:sz w:val="22"/>
          <w:szCs w:val="22"/>
        </w:rPr>
      </w:pPr>
    </w:p>
    <w:p>
      <w:pPr>
        <w:pStyle w:val="Heading4"/>
        <w:spacing w:line="240" w:lineRule="auto"/>
        <w:ind w:left="220" w:right="0"/>
        <w:jc w:val="both"/>
        <w:rPr>
          <w:b w:val="0"/>
          <w:bCs w:val="0"/>
        </w:rPr>
      </w:pPr>
      <w:bookmarkStart w:name="标准1培养目标" w:id="218"/>
      <w:bookmarkEnd w:id="218"/>
      <w:r>
        <w:rPr>
          <w:b w:val="0"/>
          <w:bCs w:val="0"/>
        </w:rPr>
      </w:r>
      <w:r>
        <w:rPr/>
        <w:t>标准 1</w:t>
      </w:r>
      <w:r>
        <w:rPr>
          <w:spacing w:val="-32"/>
        </w:rPr>
        <w:t> </w:t>
      </w:r>
      <w:r>
        <w:rPr/>
        <w:t>培养目标</w:t>
      </w:r>
      <w:r>
        <w:rPr>
          <w:b w:val="0"/>
          <w:bCs w:val="0"/>
        </w:rPr>
      </w:r>
    </w:p>
    <w:p>
      <w:pPr>
        <w:spacing w:line="240" w:lineRule="auto" w:before="8"/>
        <w:rPr>
          <w:rFonts w:ascii="微软雅黑" w:hAnsi="微软雅黑" w:cs="微软雅黑" w:eastAsia="微软雅黑"/>
          <w:b/>
          <w:bCs/>
          <w:sz w:val="23"/>
          <w:szCs w:val="23"/>
        </w:rPr>
      </w:pPr>
    </w:p>
    <w:p>
      <w:pPr>
        <w:pStyle w:val="Heading5"/>
        <w:spacing w:line="240" w:lineRule="auto"/>
        <w:ind w:left="220" w:right="0"/>
        <w:jc w:val="both"/>
        <w:rPr>
          <w:b w:val="0"/>
          <w:bCs w:val="0"/>
        </w:rPr>
      </w:pPr>
      <w:bookmarkStart w:name="第一部分：达标情况" w:id="219"/>
      <w:bookmarkEnd w:id="219"/>
      <w:r>
        <w:rPr>
          <w:b w:val="0"/>
          <w:bCs w:val="0"/>
        </w:rPr>
      </w:r>
      <w:r>
        <w:rPr/>
        <w:t>第一部分：达标情况</w:t>
      </w:r>
      <w:r>
        <w:rPr>
          <w:b w:val="0"/>
          <w:bCs w:val="0"/>
        </w:rPr>
      </w:r>
    </w:p>
    <w:p>
      <w:pPr>
        <w:pStyle w:val="BodyText"/>
        <w:spacing w:line="312" w:lineRule="exact" w:before="194"/>
        <w:ind w:left="220" w:right="119"/>
        <w:jc w:val="both"/>
        <w:rPr>
          <w:rFonts w:ascii="楷体" w:hAnsi="楷体" w:cs="楷体" w:eastAsia="楷体"/>
        </w:rPr>
      </w:pPr>
      <w:r>
        <w:rPr>
          <w:rFonts w:ascii="楷体" w:hAnsi="楷体" w:cs="楷体" w:eastAsia="楷体"/>
        </w:rPr>
        <w:t>（请用数据和事实逐条自证标准条文的达成情况。数据描述以《专业教学基本状态 数据分析报告》为依据进行分析和达成说明，事实描述以具体明确的文件、制度、 行为、效果等进行评价分析和达成说明）</w:t>
      </w:r>
    </w:p>
    <w:p>
      <w:pPr>
        <w:spacing w:line="240" w:lineRule="auto" w:before="0"/>
        <w:rPr>
          <w:rFonts w:ascii="楷体" w:hAnsi="楷体" w:cs="楷体" w:eastAsia="楷体"/>
          <w:sz w:val="24"/>
          <w:szCs w:val="24"/>
        </w:rPr>
      </w:pPr>
    </w:p>
    <w:p>
      <w:pPr>
        <w:spacing w:line="240" w:lineRule="auto" w:before="8"/>
        <w:rPr>
          <w:rFonts w:ascii="楷体" w:hAnsi="楷体" w:cs="楷体" w:eastAsia="楷体"/>
          <w:sz w:val="17"/>
          <w:szCs w:val="17"/>
        </w:rPr>
      </w:pPr>
    </w:p>
    <w:p>
      <w:pPr>
        <w:pStyle w:val="BodyText"/>
        <w:spacing w:line="237" w:lineRule="auto"/>
        <w:ind w:left="220" w:right="115"/>
        <w:jc w:val="both"/>
        <w:rPr>
          <w:rFonts w:ascii="微软雅黑" w:hAnsi="微软雅黑" w:cs="微软雅黑" w:eastAsia="微软雅黑"/>
        </w:rPr>
      </w:pPr>
      <w:r>
        <w:rPr>
          <w:rFonts w:ascii="微软雅黑" w:hAnsi="微软雅黑" w:cs="微软雅黑" w:eastAsia="微软雅黑"/>
        </w:rPr>
        <w:t>1.1 [目标定位] 培养目标应贯彻党的教育方针，面向国家、地区基础教育改革发展 和教师队伍建设重大战略需求，落实国家教师教育相关政策要求，符合学校办学定 位。</w:t>
      </w:r>
    </w:p>
    <w:p>
      <w:pPr>
        <w:spacing w:line="240" w:lineRule="auto" w:before="4"/>
        <w:rPr>
          <w:rFonts w:ascii="微软雅黑" w:hAnsi="微软雅黑" w:cs="微软雅黑" w:eastAsia="微软雅黑"/>
          <w:sz w:val="15"/>
          <w:szCs w:val="15"/>
        </w:rPr>
      </w:pPr>
    </w:p>
    <w:p>
      <w:pPr>
        <w:pStyle w:val="BodyText"/>
        <w:spacing w:line="240" w:lineRule="auto"/>
        <w:ind w:left="220" w:right="0"/>
        <w:jc w:val="both"/>
      </w:pPr>
      <w:r>
        <w:rPr/>
        <w:t>①用单独段落列出本专业的培养目标全文。</w:t>
      </w:r>
    </w:p>
    <w:p>
      <w:pPr>
        <w:spacing w:line="240" w:lineRule="auto" w:before="11"/>
        <w:rPr>
          <w:rFonts w:ascii="华文楷体" w:hAnsi="华文楷体" w:cs="华文楷体" w:eastAsia="华文楷体"/>
          <w:sz w:val="26"/>
          <w:szCs w:val="26"/>
        </w:rPr>
      </w:pPr>
    </w:p>
    <w:p>
      <w:pPr>
        <w:pStyle w:val="BodyText"/>
        <w:spacing w:line="424" w:lineRule="auto"/>
        <w:ind w:left="220" w:right="119"/>
        <w:jc w:val="both"/>
      </w:pPr>
      <w:r>
        <w:rPr/>
        <w:t>②描述说明专业培养目标贯彻党的教育方针及落实国家教师教育相关政策和改革要 求的情况。</w:t>
      </w:r>
    </w:p>
    <w:p>
      <w:pPr>
        <w:pStyle w:val="BodyText"/>
        <w:spacing w:line="240" w:lineRule="auto" w:before="185"/>
        <w:ind w:left="220" w:right="0"/>
        <w:jc w:val="both"/>
      </w:pPr>
      <w:r>
        <w:rPr/>
        <w:t>③描述说明专业培养目标与学校本科人才培养目标定位，及与国家、地区基础教育</w:t>
      </w:r>
    </w:p>
    <w:p>
      <w:pPr>
        <w:spacing w:after="0" w:line="240" w:lineRule="auto"/>
        <w:jc w:val="both"/>
        <w:sectPr>
          <w:footerReference w:type="default" r:id="rId102"/>
          <w:pgSz w:w="12240" w:h="15840"/>
          <w:pgMar w:footer="697" w:header="773" w:top="960" w:bottom="880" w:left="1580" w:right="1680"/>
          <w:pgNumType w:start="1"/>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改革发展和教师队伍建设重大战略需求的关系。</w:t>
      </w:r>
    </w:p>
    <w:p>
      <w:pPr>
        <w:spacing w:line="240" w:lineRule="auto" w:before="11"/>
        <w:rPr>
          <w:rFonts w:ascii="华文楷体" w:hAnsi="华文楷体" w:cs="华文楷体" w:eastAsia="华文楷体"/>
          <w:sz w:val="26"/>
          <w:szCs w:val="26"/>
        </w:rPr>
      </w:pPr>
    </w:p>
    <w:p>
      <w:pPr>
        <w:pStyle w:val="BodyText"/>
        <w:spacing w:line="424" w:lineRule="auto"/>
        <w:ind w:right="359"/>
        <w:jc w:val="both"/>
      </w:pPr>
      <w:r>
        <w:rPr/>
        <w:t>④描述说明专业培养目标如何对接“卓越教师培养计划”要求，体现前瞻性和引领 性。</w:t>
      </w:r>
    </w:p>
    <w:p>
      <w:pPr>
        <w:spacing w:line="240" w:lineRule="auto" w:before="9"/>
        <w:rPr>
          <w:rFonts w:ascii="华文楷体" w:hAnsi="华文楷体" w:cs="华文楷体" w:eastAsia="华文楷体"/>
          <w:sz w:val="26"/>
          <w:szCs w:val="26"/>
        </w:rPr>
      </w:pPr>
    </w:p>
    <w:p>
      <w:pPr>
        <w:pStyle w:val="BodyText"/>
        <w:spacing w:line="237" w:lineRule="auto"/>
        <w:ind w:right="355"/>
        <w:jc w:val="both"/>
        <w:rPr>
          <w:rFonts w:ascii="微软雅黑" w:hAnsi="微软雅黑" w:cs="微软雅黑" w:eastAsia="微软雅黑"/>
        </w:rPr>
      </w:pPr>
      <w:r>
        <w:rPr>
          <w:rFonts w:ascii="微软雅黑" w:hAnsi="微软雅黑" w:cs="微软雅黑" w:eastAsia="微软雅黑"/>
        </w:rPr>
        <w:t>1.2 [目标内涵] 培养目标内容明确清晰，反映师范生毕业后 5</w:t>
      </w:r>
      <w:r>
        <w:rPr>
          <w:rFonts w:ascii="微软雅黑" w:hAnsi="微软雅黑" w:cs="微软雅黑" w:eastAsia="微软雅黑"/>
          <w:spacing w:val="-38"/>
        </w:rPr>
        <w:t> </w:t>
      </w:r>
      <w:r>
        <w:rPr>
          <w:rFonts w:ascii="微软雅黑" w:hAnsi="微软雅黑" w:cs="微软雅黑" w:eastAsia="微软雅黑"/>
        </w:rPr>
        <w:t>年左右在社会和专业</w:t>
      </w:r>
      <w:r>
        <w:rPr>
          <w:rFonts w:ascii="微软雅黑" w:hAnsi="微软雅黑" w:cs="微软雅黑" w:eastAsia="微软雅黑"/>
        </w:rPr>
        <w:t> 领域的发展预期，体现专业特色和优势，并能够为师范生、教师、教学管理人员及 其他利益相关方所理解和认同。</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①描述说明当前执行的培养目标表述明确清晰，预期了师范生毕业后 5</w:t>
      </w:r>
      <w:r>
        <w:rPr>
          <w:spacing w:val="4"/>
        </w:rPr>
        <w:t> </w:t>
      </w:r>
      <w:r>
        <w:rPr/>
        <w:t>年左右在就</w:t>
      </w:r>
      <w:r>
        <w:rPr/>
        <w:t> 业领域具有的专业技能、在社会环境下具有的职业素养及职业发展潜力和竞争力， 并举证说明该预期可以达到或实现。</w:t>
      </w:r>
    </w:p>
    <w:p>
      <w:pPr>
        <w:pStyle w:val="BodyText"/>
        <w:spacing w:line="240" w:lineRule="auto" w:before="185"/>
        <w:ind w:right="0"/>
        <w:jc w:val="both"/>
      </w:pPr>
      <w:r>
        <w:rPr/>
        <w:t>②描述说明当前执行的专业培养目标能够体现专业在办学过程中形成的特色和优势。</w:t>
      </w:r>
    </w:p>
    <w:p>
      <w:pPr>
        <w:spacing w:line="240" w:lineRule="auto" w:before="2"/>
        <w:rPr>
          <w:rFonts w:ascii="华文楷体" w:hAnsi="华文楷体" w:cs="华文楷体" w:eastAsia="华文楷体"/>
          <w:sz w:val="24"/>
          <w:szCs w:val="24"/>
        </w:rPr>
      </w:pPr>
    </w:p>
    <w:p>
      <w:pPr>
        <w:pStyle w:val="BodyText"/>
        <w:spacing w:line="362" w:lineRule="auto"/>
        <w:ind w:right="359"/>
        <w:jc w:val="both"/>
      </w:pPr>
      <w:r>
        <w:rPr/>
        <w:t>③描述并举证说明专业采取多种途径让培养目标能够为本专业</w:t>
      </w:r>
      <w:r>
        <w:rPr>
          <w:rFonts w:ascii="微软雅黑" w:hAnsi="微软雅黑" w:cs="微软雅黑" w:eastAsia="微软雅黑"/>
        </w:rPr>
        <w:t>师范生、教师、教学 管理人员及其他</w:t>
      </w:r>
      <w:r>
        <w:rPr/>
        <w:t>利益相关方接受、认同。</w:t>
      </w:r>
    </w:p>
    <w:p>
      <w:pPr>
        <w:spacing w:line="240" w:lineRule="auto" w:before="12"/>
        <w:rPr>
          <w:rFonts w:ascii="华文楷体" w:hAnsi="华文楷体" w:cs="华文楷体" w:eastAsia="华文楷体"/>
          <w:sz w:val="27"/>
          <w:szCs w:val="27"/>
        </w:rPr>
      </w:pPr>
    </w:p>
    <w:p>
      <w:pPr>
        <w:pStyle w:val="BodyText"/>
        <w:spacing w:line="240" w:lineRule="auto"/>
        <w:ind w:right="355"/>
        <w:jc w:val="both"/>
        <w:rPr>
          <w:rFonts w:ascii="微软雅黑" w:hAnsi="微软雅黑" w:cs="微软雅黑" w:eastAsia="微软雅黑"/>
        </w:rPr>
      </w:pPr>
      <w:r>
        <w:rPr>
          <w:rFonts w:ascii="微软雅黑" w:hAnsi="微软雅黑" w:cs="微软雅黑" w:eastAsia="微软雅黑"/>
        </w:rPr>
        <w:t>1.3 [目标评价] 定期对培养目标的合理性进行评价，并能根据评价结果对培养目标 进行必要修订。评价和修订过程应有利益相关方参与。</w:t>
      </w:r>
    </w:p>
    <w:p>
      <w:pPr>
        <w:spacing w:line="240" w:lineRule="auto" w:before="6"/>
        <w:rPr>
          <w:rFonts w:ascii="微软雅黑" w:hAnsi="微软雅黑" w:cs="微软雅黑" w:eastAsia="微软雅黑"/>
          <w:sz w:val="15"/>
          <w:szCs w:val="15"/>
        </w:rPr>
      </w:pPr>
    </w:p>
    <w:p>
      <w:pPr>
        <w:pStyle w:val="BodyText"/>
        <w:spacing w:line="424" w:lineRule="auto"/>
        <w:ind w:right="359"/>
        <w:jc w:val="both"/>
      </w:pPr>
      <w:r>
        <w:rPr/>
        <w:t>①描述说明专业培养目标合理性定期评价机制，包括评价制度、评价依据、评价周 期、评价程序、评价责任机构和责任人、结果反馈等。说明最近一次培养目标合理 性评价情况。</w:t>
      </w:r>
    </w:p>
    <w:p>
      <w:pPr>
        <w:pStyle w:val="BodyText"/>
        <w:spacing w:line="424" w:lineRule="auto" w:before="185"/>
        <w:ind w:right="359"/>
        <w:jc w:val="both"/>
      </w:pPr>
      <w:r>
        <w:rPr/>
        <w:t>②描述说明最近一次专业依据培养目标合理性评价结果对培养目标进行修订情况， 包括修订时间、改动的内容、改动的理由等。</w:t>
      </w:r>
    </w:p>
    <w:p>
      <w:pPr>
        <w:spacing w:after="0" w:line="424" w:lineRule="auto"/>
        <w:jc w:val="both"/>
        <w:sectPr>
          <w:pgSz w:w="12240" w:h="15840"/>
          <w:pgMar w:header="773" w:footer="697"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③描述说明师范生、教师、教学管理人员和用人单位及其他利益相关方参与专业培 养目标评价和修订过程情况。</w:t>
      </w:r>
    </w:p>
    <w:p>
      <w:pPr>
        <w:spacing w:line="240" w:lineRule="auto" w:before="0"/>
        <w:rPr>
          <w:rFonts w:ascii="华文楷体" w:hAnsi="华文楷体" w:cs="华文楷体" w:eastAsia="华文楷体"/>
          <w:sz w:val="24"/>
          <w:szCs w:val="24"/>
        </w:rPr>
      </w:pPr>
    </w:p>
    <w:p>
      <w:pPr>
        <w:spacing w:line="240" w:lineRule="auto" w:before="12"/>
        <w:rPr>
          <w:rFonts w:ascii="华文楷体" w:hAnsi="华文楷体" w:cs="华文楷体" w:eastAsia="华文楷体"/>
          <w:sz w:val="17"/>
          <w:szCs w:val="17"/>
        </w:rPr>
      </w:pPr>
    </w:p>
    <w:p>
      <w:pPr>
        <w:pStyle w:val="Heading5"/>
        <w:spacing w:line="240" w:lineRule="auto"/>
        <w:ind w:right="0"/>
        <w:jc w:val="both"/>
        <w:rPr>
          <w:b w:val="0"/>
          <w:bCs w:val="0"/>
        </w:rPr>
      </w:pPr>
      <w:bookmarkStart w:name="第二部分：主要问题" w:id="220"/>
      <w:bookmarkEnd w:id="220"/>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7"/>
        <w:rPr>
          <w:rFonts w:ascii="楷体" w:hAnsi="楷体" w:cs="楷体" w:eastAsia="楷体"/>
          <w:sz w:val="28"/>
          <w:szCs w:val="28"/>
        </w:rPr>
      </w:pPr>
    </w:p>
    <w:p>
      <w:pPr>
        <w:pStyle w:val="Heading5"/>
        <w:spacing w:line="240" w:lineRule="auto"/>
        <w:ind w:right="0"/>
        <w:jc w:val="both"/>
        <w:rPr>
          <w:b w:val="0"/>
          <w:bCs w:val="0"/>
        </w:rPr>
      </w:pPr>
      <w:bookmarkStart w:name="第三部分：改进措施" w:id="221"/>
      <w:bookmarkEnd w:id="221"/>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35"/>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2毕业要求" w:id="222"/>
      <w:bookmarkEnd w:id="222"/>
      <w:r>
        <w:rPr>
          <w:b w:val="0"/>
          <w:bCs w:val="0"/>
        </w:rPr>
      </w:r>
      <w:r>
        <w:rPr/>
        <w:t>标准 2</w:t>
      </w:r>
      <w:r>
        <w:rPr>
          <w:spacing w:val="-32"/>
        </w:rPr>
        <w:t> </w:t>
      </w:r>
      <w:r>
        <w:rPr/>
        <w:t>毕业要求</w:t>
      </w:r>
      <w:r>
        <w:rPr>
          <w:b w:val="0"/>
          <w:bCs w:val="0"/>
        </w:rPr>
      </w:r>
    </w:p>
    <w:p>
      <w:pPr>
        <w:spacing w:line="240" w:lineRule="auto" w:before="14"/>
        <w:rPr>
          <w:rFonts w:ascii="微软雅黑" w:hAnsi="微软雅黑" w:cs="微软雅黑" w:eastAsia="微软雅黑"/>
          <w:b/>
          <w:bCs/>
          <w:sz w:val="23"/>
          <w:szCs w:val="23"/>
        </w:rPr>
      </w:pPr>
    </w:p>
    <w:p>
      <w:pPr>
        <w:pStyle w:val="BodyText"/>
        <w:spacing w:line="237" w:lineRule="auto"/>
        <w:ind w:right="239"/>
        <w:jc w:val="both"/>
        <w:rPr>
          <w:rFonts w:ascii="微软雅黑" w:hAnsi="微软雅黑" w:cs="微软雅黑" w:eastAsia="微软雅黑"/>
        </w:rPr>
      </w:pPr>
      <w:r>
        <w:rPr>
          <w:rFonts w:ascii="微软雅黑" w:hAnsi="微软雅黑" w:cs="微软雅黑" w:eastAsia="微软雅黑"/>
        </w:rPr>
        <w:t>专业应根据幼儿园教师专业标准，制定明确、公开的毕业要求。毕业要求能够支撑 培养目标，并在师范生培养全过程中分解落实。专业应通过评价证明毕业要求的达 成。专业制定的毕业要求应涵盖以下内容：</w:t>
      </w:r>
    </w:p>
    <w:p>
      <w:pPr>
        <w:pStyle w:val="BodyText"/>
        <w:spacing w:line="410" w:lineRule="exact"/>
        <w:ind w:right="0"/>
        <w:jc w:val="both"/>
        <w:rPr>
          <w:rFonts w:ascii="微软雅黑" w:hAnsi="微软雅黑" w:cs="微软雅黑" w:eastAsia="微软雅黑"/>
        </w:rPr>
      </w:pPr>
      <w:r>
        <w:rPr>
          <w:rFonts w:ascii="微软雅黑" w:hAnsi="微软雅黑" w:cs="微软雅黑" w:eastAsia="微软雅黑"/>
        </w:rPr>
        <w:t>践行师德</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2.1 [师德规范] 践行社会主义核心价值观，增进对中国特色社会主义的思想认同、 政治认同、理论认同和情感认同。贯彻党的教育方针，以立德树人为己任。遵守中 小学教师职业道德规范，具有依法执教意识，立志成为有理想信念、有道德情操、 有扎实学识、有仁爱之心的好老师。</w:t>
      </w: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2.2</w:t>
      </w:r>
      <w:r>
        <w:rPr>
          <w:rFonts w:ascii="微软雅黑" w:hAnsi="微软雅黑" w:cs="微软雅黑" w:eastAsia="微软雅黑"/>
          <w:spacing w:val="4"/>
        </w:rPr>
        <w:t> </w:t>
      </w:r>
      <w:r>
        <w:rPr>
          <w:rFonts w:ascii="微软雅黑" w:hAnsi="微软雅黑" w:cs="微软雅黑" w:eastAsia="微软雅黑"/>
        </w:rPr>
        <w:t>[教育情怀]</w:t>
      </w:r>
      <w:r>
        <w:rPr>
          <w:rFonts w:ascii="微软雅黑" w:hAnsi="微软雅黑" w:cs="微软雅黑" w:eastAsia="微软雅黑"/>
          <w:spacing w:val="59"/>
        </w:rPr>
        <w:t> </w:t>
      </w:r>
      <w:r>
        <w:rPr>
          <w:rFonts w:ascii="微软雅黑" w:hAnsi="微软雅黑" w:cs="微软雅黑" w:eastAsia="微软雅黑"/>
        </w:rPr>
        <w:t>具有从教意愿，认同教师工作的意义和专业性，具有积极的情感、</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端正的态度、正确的价值观。具有人文底蕴和科学精神，尊重幼儿人格，富有爱心、</w:t>
      </w:r>
      <w:r>
        <w:rPr>
          <w:rFonts w:ascii="微软雅黑" w:hAnsi="微软雅黑" w:cs="微软雅黑" w:eastAsia="微软雅黑"/>
          <w:spacing w:val="-45"/>
        </w:rPr>
        <w:t> </w:t>
      </w:r>
      <w:r>
        <w:rPr>
          <w:rFonts w:ascii="微软雅黑" w:hAnsi="微软雅黑" w:cs="微软雅黑" w:eastAsia="微软雅黑"/>
          <w:spacing w:val="-45"/>
        </w:rPr>
      </w:r>
      <w:r>
        <w:rPr>
          <w:rFonts w:ascii="微软雅黑" w:hAnsi="微软雅黑" w:cs="微软雅黑" w:eastAsia="微软雅黑"/>
        </w:rPr>
        <w:t>责任心、事业心，工作细心、耐心，做幼儿健康成长的启蒙者和引路人。</w:t>
      </w:r>
    </w:p>
    <w:p>
      <w:pPr>
        <w:pStyle w:val="BodyText"/>
        <w:spacing w:line="410" w:lineRule="exact"/>
        <w:ind w:right="0"/>
        <w:jc w:val="both"/>
        <w:rPr>
          <w:rFonts w:ascii="微软雅黑" w:hAnsi="微软雅黑" w:cs="微软雅黑" w:eastAsia="微软雅黑"/>
        </w:rPr>
      </w:pPr>
      <w:r>
        <w:rPr>
          <w:rFonts w:ascii="微软雅黑" w:hAnsi="微软雅黑" w:cs="微软雅黑" w:eastAsia="微软雅黑"/>
        </w:rPr>
        <w:t>学会教学</w:t>
      </w:r>
    </w:p>
    <w:p>
      <w:pPr>
        <w:pStyle w:val="BodyText"/>
        <w:spacing w:line="240" w:lineRule="auto"/>
        <w:ind w:right="35"/>
        <w:jc w:val="left"/>
        <w:rPr>
          <w:rFonts w:ascii="微软雅黑" w:hAnsi="微软雅黑" w:cs="微软雅黑" w:eastAsia="微软雅黑"/>
        </w:rPr>
      </w:pPr>
      <w:r>
        <w:rPr>
          <w:rFonts w:ascii="微软雅黑" w:hAnsi="微软雅黑" w:cs="微软雅黑" w:eastAsia="微软雅黑"/>
        </w:rPr>
        <w:t>2.3 [保教知识] 掌握通识知识和儿童发展知识，掌握学前教育专业领域知识体系、 思想与方法，重点理解和掌握专业领域核心素养内涵；了解领域渗透与知识整合，</w:t>
      </w:r>
    </w:p>
    <w:p>
      <w:pPr>
        <w:spacing w:after="0" w:line="240" w:lineRule="auto"/>
        <w:jc w:val="left"/>
        <w:rPr>
          <w:rFonts w:ascii="微软雅黑" w:hAnsi="微软雅黑" w:cs="微软雅黑" w:eastAsia="微软雅黑"/>
        </w:rPr>
        <w:sectPr>
          <w:pgSz w:w="12240" w:h="15840"/>
          <w:pgMar w:header="773" w:footer="697" w:top="960" w:bottom="880" w:left="1680" w:right="1560"/>
        </w:sectPr>
      </w:pPr>
    </w:p>
    <w:p>
      <w:pPr>
        <w:spacing w:line="240" w:lineRule="auto" w:before="9"/>
        <w:rPr>
          <w:rFonts w:ascii="微软雅黑" w:hAnsi="微软雅黑" w:cs="微软雅黑" w:eastAsia="微软雅黑"/>
          <w:sz w:val="27"/>
          <w:szCs w:val="27"/>
        </w:rPr>
      </w:pPr>
    </w:p>
    <w:p>
      <w:pPr>
        <w:pStyle w:val="BodyText"/>
        <w:spacing w:line="353" w:lineRule="exact"/>
        <w:ind w:right="35"/>
        <w:jc w:val="left"/>
        <w:rPr>
          <w:rFonts w:ascii="微软雅黑" w:hAnsi="微软雅黑" w:cs="微软雅黑" w:eastAsia="微软雅黑"/>
        </w:rPr>
      </w:pPr>
      <w:r>
        <w:rPr>
          <w:rFonts w:ascii="微软雅黑" w:hAnsi="微软雅黑" w:cs="微软雅黑" w:eastAsia="微软雅黑"/>
        </w:rPr>
        <w:t>对学习科学相关知识能理解并初步运用，能综合领会并形成专业领域教学知识。初</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步习得基于核心素养的学习指导方法和策略。</w:t>
      </w:r>
    </w:p>
    <w:p>
      <w:pPr>
        <w:pStyle w:val="BodyText"/>
        <w:spacing w:line="237" w:lineRule="auto" w:before="2"/>
        <w:ind w:right="235"/>
        <w:jc w:val="both"/>
        <w:rPr>
          <w:rFonts w:ascii="微软雅黑" w:hAnsi="微软雅黑" w:cs="微软雅黑" w:eastAsia="微软雅黑"/>
        </w:rPr>
      </w:pPr>
      <w:r>
        <w:rPr>
          <w:rFonts w:ascii="微软雅黑" w:hAnsi="微软雅黑" w:cs="微软雅黑" w:eastAsia="微软雅黑"/>
        </w:rPr>
        <w:t>2.4 [保教能力] 理解教师是幼儿学习和发展的促进者。能够依据《幼儿园教育指导 </w:t>
      </w:r>
      <w:r>
        <w:rPr>
          <w:rFonts w:ascii="微软雅黑" w:hAnsi="微软雅黑" w:cs="微软雅黑" w:eastAsia="微软雅黑"/>
          <w:spacing w:val="-10"/>
        </w:rPr>
        <w:t>纲要（试行）》和《3-6</w:t>
      </w:r>
      <w:r>
        <w:rPr>
          <w:rFonts w:ascii="微软雅黑" w:hAnsi="微软雅黑" w:cs="微软雅黑" w:eastAsia="微软雅黑"/>
          <w:spacing w:val="-1"/>
        </w:rPr>
        <w:t> </w:t>
      </w:r>
      <w:r>
        <w:rPr>
          <w:rFonts w:ascii="微软雅黑" w:hAnsi="微软雅黑" w:cs="微软雅黑" w:eastAsia="微软雅黑"/>
          <w:spacing w:val="-4"/>
        </w:rPr>
        <w:t>岁儿童学习与发展指南》，以学习者为中心，根据幼儿身心</w:t>
      </w:r>
      <w:r>
        <w:rPr>
          <w:rFonts w:ascii="微软雅黑" w:hAnsi="微软雅黑" w:cs="微软雅黑" w:eastAsia="微软雅黑"/>
        </w:rPr>
        <w:t> 发展规律和学习特点，整合各领域的内容，科学规划一日生活，创设教育环境，综 合实施教育活动，有针对性地指导学习过程，实施融合教育。有效运用多种方法， 进行学习评价。</w:t>
      </w:r>
    </w:p>
    <w:p>
      <w:pPr>
        <w:pStyle w:val="BodyText"/>
        <w:spacing w:line="410" w:lineRule="exact"/>
        <w:ind w:right="35"/>
        <w:jc w:val="left"/>
        <w:rPr>
          <w:rFonts w:ascii="微软雅黑" w:hAnsi="微软雅黑" w:cs="微软雅黑" w:eastAsia="微软雅黑"/>
        </w:rPr>
      </w:pPr>
      <w:r>
        <w:rPr>
          <w:rFonts w:ascii="微软雅黑" w:hAnsi="微软雅黑" w:cs="微软雅黑" w:eastAsia="微软雅黑"/>
        </w:rPr>
        <w:t>学会育人</w:t>
      </w:r>
    </w:p>
    <w:p>
      <w:pPr>
        <w:pStyle w:val="BodyText"/>
        <w:spacing w:line="237" w:lineRule="auto" w:before="2"/>
        <w:ind w:right="35"/>
        <w:jc w:val="left"/>
        <w:rPr>
          <w:rFonts w:ascii="微软雅黑" w:hAnsi="微软雅黑" w:cs="微软雅黑" w:eastAsia="微软雅黑"/>
        </w:rPr>
      </w:pPr>
      <w:r>
        <w:rPr>
          <w:rFonts w:ascii="微软雅黑" w:hAnsi="微软雅黑" w:cs="微软雅黑" w:eastAsia="微软雅黑"/>
        </w:rPr>
        <w:t>2.5 [班级管理]</w:t>
      </w:r>
      <w:r>
        <w:rPr>
          <w:rFonts w:ascii="微软雅黑" w:hAnsi="微软雅黑" w:cs="微软雅黑" w:eastAsia="微软雅黑"/>
          <w:spacing w:val="47"/>
        </w:rPr>
        <w:t> </w:t>
      </w:r>
      <w:r>
        <w:rPr>
          <w:rFonts w:ascii="微软雅黑" w:hAnsi="微软雅黑" w:cs="微软雅黑" w:eastAsia="微软雅黑"/>
          <w:spacing w:val="-3"/>
        </w:rPr>
        <w:t>掌握班级建设、班级教育活动组织、幼儿发展指导、综合素质评价、</w:t>
      </w:r>
      <w:r>
        <w:rPr>
          <w:rFonts w:ascii="微软雅黑" w:hAnsi="微软雅黑" w:cs="微软雅黑" w:eastAsia="微软雅黑"/>
        </w:rPr>
        <w:t> 与家长及社区沟通合作等班级常规工作的方法与要点，研究班级工作的规律。建立 良好的班级秩序与规则，合理规划利用时间与空间，创设安全舒适的班级环境，充 分利用各种教育资源，建立良好的同伴关系和师幼关系，营造尊重、平等、积极向 上的班级氛围。</w:t>
      </w:r>
    </w:p>
    <w:p>
      <w:pPr>
        <w:pStyle w:val="BodyText"/>
        <w:spacing w:line="237" w:lineRule="auto" w:before="2"/>
        <w:ind w:right="119"/>
        <w:jc w:val="left"/>
        <w:rPr>
          <w:rFonts w:ascii="微软雅黑" w:hAnsi="微软雅黑" w:cs="微软雅黑" w:eastAsia="微软雅黑"/>
        </w:rPr>
      </w:pPr>
      <w:r>
        <w:rPr>
          <w:rFonts w:ascii="微软雅黑" w:hAnsi="微软雅黑" w:cs="微软雅黑" w:eastAsia="微软雅黑"/>
        </w:rPr>
        <w:t>2.6</w:t>
      </w:r>
      <w:r>
        <w:rPr>
          <w:rFonts w:ascii="微软雅黑" w:hAnsi="微软雅黑" w:cs="微软雅黑" w:eastAsia="微软雅黑"/>
          <w:spacing w:val="-8"/>
        </w:rPr>
        <w:t> </w:t>
      </w:r>
      <w:r>
        <w:rPr>
          <w:rFonts w:ascii="微软雅黑" w:hAnsi="微软雅黑" w:cs="微软雅黑" w:eastAsia="微软雅黑"/>
        </w:rPr>
        <w:t>[综合育人]</w:t>
      </w:r>
      <w:r>
        <w:rPr>
          <w:rFonts w:ascii="微软雅黑" w:hAnsi="微软雅黑" w:cs="微软雅黑" w:eastAsia="微软雅黑"/>
          <w:spacing w:val="58"/>
        </w:rPr>
        <w:t> </w:t>
      </w:r>
      <w:r>
        <w:rPr>
          <w:rFonts w:ascii="微软雅黑" w:hAnsi="微软雅黑" w:cs="微软雅黑" w:eastAsia="微软雅黑"/>
          <w:spacing w:val="-3"/>
        </w:rPr>
        <w:t>树立德育为先理念，掌握幼儿社会性-情感发展的特点和规律，注重</w:t>
      </w:r>
      <w:r>
        <w:rPr>
          <w:rFonts w:ascii="微软雅黑" w:hAnsi="微软雅黑" w:cs="微软雅黑" w:eastAsia="微软雅黑"/>
          <w:spacing w:val="-60"/>
        </w:rPr>
        <w:t> </w:t>
      </w:r>
      <w:r>
        <w:rPr>
          <w:rFonts w:ascii="微软雅黑" w:hAnsi="微软雅黑" w:cs="微软雅黑" w:eastAsia="微软雅黑"/>
          <w:spacing w:val="-60"/>
        </w:rPr>
      </w:r>
      <w:r>
        <w:rPr>
          <w:rFonts w:ascii="微软雅黑" w:hAnsi="微软雅黑" w:cs="微软雅黑" w:eastAsia="微软雅黑"/>
        </w:rPr>
        <w:t>培育幼儿良好意志品质和行为习惯，使其获得积极体验。理解环境育人价值，理解 </w:t>
      </w:r>
      <w:r>
        <w:rPr>
          <w:rFonts w:ascii="微软雅黑" w:hAnsi="微软雅黑" w:cs="微软雅黑" w:eastAsia="微软雅黑"/>
          <w:spacing w:val="-3"/>
        </w:rPr>
        <w:t>园所文化和一日生活对幼儿发展的价值。将社会性-情感教育内容灵活渗透在一日生</w:t>
      </w:r>
      <w:r>
        <w:rPr>
          <w:rFonts w:ascii="微软雅黑" w:hAnsi="微软雅黑" w:cs="微软雅黑" w:eastAsia="微软雅黑"/>
          <w:spacing w:val="-66"/>
        </w:rPr>
        <w:t> </w:t>
      </w:r>
      <w:r>
        <w:rPr>
          <w:rFonts w:ascii="微软雅黑" w:hAnsi="微软雅黑" w:cs="微软雅黑" w:eastAsia="微软雅黑"/>
          <w:spacing w:val="-66"/>
        </w:rPr>
      </w:r>
      <w:r>
        <w:rPr>
          <w:rFonts w:ascii="微软雅黑" w:hAnsi="微软雅黑" w:cs="微软雅黑" w:eastAsia="微软雅黑"/>
          <w:spacing w:val="-4"/>
        </w:rPr>
        <w:t>活之中，通过环境影响感染幼儿。综合利用幼儿园、家庭和社区各种资源全面育人。</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学会发展</w:t>
      </w:r>
    </w:p>
    <w:p>
      <w:pPr>
        <w:pStyle w:val="BodyText"/>
        <w:spacing w:line="237" w:lineRule="auto"/>
        <w:ind w:right="235"/>
        <w:jc w:val="both"/>
        <w:rPr>
          <w:rFonts w:ascii="微软雅黑" w:hAnsi="微软雅黑" w:cs="微软雅黑" w:eastAsia="微软雅黑"/>
        </w:rPr>
      </w:pPr>
      <w:r>
        <w:rPr>
          <w:rFonts w:ascii="微软雅黑" w:hAnsi="微软雅黑" w:cs="微软雅黑" w:eastAsia="微软雅黑"/>
        </w:rPr>
        <w:t>2.7 [自主学习] 具有终身学习与专业发展意识。了解专业发展核心内容和发展阶段 路径，能够结合就业愿景制定自身学习和专业发展规划。养成自主学习习惯，具有 自我管理能力。</w:t>
      </w:r>
    </w:p>
    <w:p>
      <w:pPr>
        <w:pStyle w:val="BodyText"/>
        <w:spacing w:line="237" w:lineRule="auto" w:before="2"/>
        <w:ind w:right="35"/>
        <w:jc w:val="left"/>
        <w:rPr>
          <w:rFonts w:ascii="微软雅黑" w:hAnsi="微软雅黑" w:cs="微软雅黑" w:eastAsia="微软雅黑"/>
        </w:rPr>
      </w:pPr>
      <w:r>
        <w:rPr>
          <w:rFonts w:ascii="微软雅黑" w:hAnsi="微软雅黑" w:cs="微软雅黑" w:eastAsia="微软雅黑"/>
        </w:rPr>
        <w:t>2.8</w:t>
      </w:r>
      <w:r>
        <w:rPr>
          <w:rFonts w:ascii="微软雅黑" w:hAnsi="微软雅黑" w:cs="微软雅黑" w:eastAsia="微软雅黑"/>
          <w:spacing w:val="4"/>
        </w:rPr>
        <w:t> </w:t>
      </w:r>
      <w:r>
        <w:rPr>
          <w:rFonts w:ascii="微软雅黑" w:hAnsi="微软雅黑" w:cs="微软雅黑" w:eastAsia="微软雅黑"/>
        </w:rPr>
        <w:t>[国际视野]</w:t>
      </w:r>
      <w:r>
        <w:rPr>
          <w:rFonts w:ascii="微软雅黑" w:hAnsi="微软雅黑" w:cs="微软雅黑" w:eastAsia="微软雅黑"/>
          <w:spacing w:val="59"/>
        </w:rPr>
        <w:t> </w:t>
      </w:r>
      <w:r>
        <w:rPr>
          <w:rFonts w:ascii="微软雅黑" w:hAnsi="微软雅黑" w:cs="微软雅黑" w:eastAsia="微软雅黑"/>
        </w:rPr>
        <w:t>具有全球意识和开放心态，了解国外学前教育改革发展的趋势和前</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沿动态。积极参与国际教育交流。尝试借鉴国际先进教育理念和经验进行教育教学。</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2.9</w:t>
      </w:r>
      <w:r>
        <w:rPr>
          <w:rFonts w:ascii="微软雅黑" w:hAnsi="微软雅黑" w:cs="微软雅黑" w:eastAsia="微软雅黑"/>
          <w:spacing w:val="4"/>
        </w:rPr>
        <w:t> </w:t>
      </w:r>
      <w:r>
        <w:rPr>
          <w:rFonts w:ascii="微软雅黑" w:hAnsi="微软雅黑" w:cs="微软雅黑" w:eastAsia="微软雅黑"/>
        </w:rPr>
        <w:t>[反思研究]</w:t>
      </w:r>
      <w:r>
        <w:rPr>
          <w:rFonts w:ascii="微软雅黑" w:hAnsi="微软雅黑" w:cs="微软雅黑" w:eastAsia="微软雅黑"/>
          <w:spacing w:val="59"/>
        </w:rPr>
        <w:t> </w:t>
      </w:r>
      <w:r>
        <w:rPr>
          <w:rFonts w:ascii="微软雅黑" w:hAnsi="微软雅黑" w:cs="微软雅黑" w:eastAsia="微软雅黑"/>
        </w:rPr>
        <w:t>理解教师是反思型实践者。运用批判性思维方法，关注和分析教育</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rPr>
        <w:t>实践中的问题。掌握研究幼儿行为和教育教学的方法，具有一定的创新意识和教育 教学研究能力。</w:t>
      </w:r>
    </w:p>
    <w:p>
      <w:pPr>
        <w:pStyle w:val="BodyText"/>
        <w:spacing w:line="410" w:lineRule="exact" w:before="22"/>
        <w:ind w:right="35"/>
        <w:jc w:val="left"/>
        <w:rPr>
          <w:rFonts w:ascii="微软雅黑" w:hAnsi="微软雅黑" w:cs="微软雅黑" w:eastAsia="微软雅黑"/>
        </w:rPr>
      </w:pPr>
      <w:r>
        <w:rPr>
          <w:rFonts w:ascii="微软雅黑" w:hAnsi="微软雅黑" w:cs="微软雅黑" w:eastAsia="微软雅黑"/>
        </w:rPr>
        <w:t>2.10 [交流合作]</w:t>
      </w:r>
      <w:r>
        <w:rPr>
          <w:rFonts w:ascii="微软雅黑" w:hAnsi="微软雅黑" w:cs="微软雅黑" w:eastAsia="微软雅黑"/>
          <w:spacing w:val="49"/>
        </w:rPr>
        <w:t> </w:t>
      </w:r>
      <w:r>
        <w:rPr>
          <w:rFonts w:ascii="微软雅黑" w:hAnsi="微软雅黑" w:cs="微软雅黑" w:eastAsia="微软雅黑"/>
        </w:rPr>
        <w:t>理解学习共同体的作用，具有团队协作精神，掌握沟通合作技能，</w:t>
      </w:r>
      <w:r>
        <w:rPr>
          <w:rFonts w:ascii="微软雅黑" w:hAnsi="微软雅黑" w:cs="微软雅黑" w:eastAsia="微软雅黑"/>
        </w:rPr>
        <w:t> 积极开展小组互助和合作学习。</w:t>
      </w:r>
    </w:p>
    <w:p>
      <w:pPr>
        <w:spacing w:line="240" w:lineRule="auto" w:before="0"/>
        <w:rPr>
          <w:rFonts w:ascii="微软雅黑" w:hAnsi="微软雅黑" w:cs="微软雅黑" w:eastAsia="微软雅黑"/>
          <w:sz w:val="24"/>
          <w:szCs w:val="24"/>
        </w:rPr>
      </w:pPr>
    </w:p>
    <w:p>
      <w:pPr>
        <w:spacing w:line="240" w:lineRule="auto" w:before="1"/>
        <w:rPr>
          <w:rFonts w:ascii="微软雅黑" w:hAnsi="微软雅黑" w:cs="微软雅黑" w:eastAsia="微软雅黑"/>
          <w:sz w:val="17"/>
          <w:szCs w:val="17"/>
        </w:rPr>
      </w:pPr>
    </w:p>
    <w:p>
      <w:pPr>
        <w:pStyle w:val="Heading5"/>
        <w:spacing w:line="240" w:lineRule="auto"/>
        <w:ind w:right="35"/>
        <w:jc w:val="left"/>
        <w:rPr>
          <w:b w:val="0"/>
          <w:bCs w:val="0"/>
        </w:rPr>
      </w:pPr>
      <w:bookmarkStart w:name="第一部分：达标情况" w:id="223"/>
      <w:bookmarkEnd w:id="223"/>
      <w:r>
        <w:rPr>
          <w:b w:val="0"/>
          <w:bCs w:val="0"/>
        </w:rPr>
      </w:r>
      <w:r>
        <w:rPr/>
        <w:t>第一部分：达标情况</w:t>
      </w:r>
      <w:r>
        <w:rPr>
          <w:b w:val="0"/>
          <w:bCs w:val="0"/>
        </w:rPr>
      </w:r>
    </w:p>
    <w:p>
      <w:pPr>
        <w:spacing w:after="0" w:line="240" w:lineRule="auto"/>
        <w:jc w:val="left"/>
        <w:sectPr>
          <w:headerReference w:type="default" r:id="rId103"/>
          <w:pgSz w:w="12240" w:h="15840"/>
          <w:pgMar w:header="773" w:footer="697" w:top="960" w:bottom="880" w:left="1680" w:right="1560"/>
        </w:sectPr>
      </w:pPr>
    </w:p>
    <w:p>
      <w:pPr>
        <w:spacing w:line="240" w:lineRule="auto" w:before="7"/>
        <w:rPr>
          <w:rFonts w:ascii="微软雅黑" w:hAnsi="微软雅黑" w:cs="微软雅黑" w:eastAsia="微软雅黑"/>
          <w:b/>
          <w:bCs/>
          <w:sz w:val="23"/>
          <w:szCs w:val="23"/>
        </w:rPr>
      </w:pPr>
    </w:p>
    <w:p>
      <w:pPr>
        <w:pStyle w:val="BodyText"/>
        <w:spacing w:line="312" w:lineRule="exact" w:before="56"/>
        <w:ind w:right="239"/>
        <w:jc w:val="both"/>
        <w:rPr>
          <w:rFonts w:ascii="楷体" w:hAnsi="楷体" w:cs="楷体" w:eastAsia="楷体"/>
        </w:rPr>
      </w:pPr>
      <w:r>
        <w:rPr>
          <w:rFonts w:ascii="楷体" w:hAnsi="楷体" w:cs="楷体" w:eastAsia="楷体"/>
        </w:rPr>
        <w:t>（请用数据和事实逐条自证标准条文的达成情况。数据描述以《专业状态数据分析 报告》为依据进行分析和达成说明，事实描述以具体明确的文件、制度、行为、效 果等进行评价分析和达成说明）</w:t>
      </w:r>
    </w:p>
    <w:p>
      <w:pPr>
        <w:spacing w:before="59"/>
        <w:ind w:left="120" w:right="0" w:firstLine="0"/>
        <w:jc w:val="both"/>
        <w:rPr>
          <w:rFonts w:ascii="华文楷体" w:hAnsi="华文楷体" w:cs="华文楷体" w:eastAsia="华文楷体"/>
          <w:sz w:val="21"/>
          <w:szCs w:val="21"/>
        </w:rPr>
      </w:pPr>
      <w:r>
        <w:rPr>
          <w:rFonts w:ascii="Arial Unicode MS" w:hAnsi="Arial Unicode MS" w:cs="Arial Unicode MS" w:eastAsia="Arial Unicode MS"/>
          <w:sz w:val="24"/>
          <w:szCs w:val="24"/>
        </w:rPr>
        <w:t>①</w:t>
      </w:r>
      <w:r>
        <w:rPr>
          <w:rFonts w:ascii="华文楷体" w:hAnsi="华文楷体" w:cs="华文楷体" w:eastAsia="华文楷体"/>
          <w:sz w:val="21"/>
          <w:szCs w:val="21"/>
        </w:rPr>
        <w:t>单独段落列出专业制定的毕业要求全文。</w:t>
      </w:r>
    </w:p>
    <w:p>
      <w:pPr>
        <w:spacing w:line="240" w:lineRule="auto" w:before="11"/>
        <w:rPr>
          <w:rFonts w:ascii="华文楷体" w:hAnsi="华文楷体" w:cs="华文楷体" w:eastAsia="华文楷体"/>
          <w:sz w:val="16"/>
          <w:szCs w:val="16"/>
        </w:rPr>
      </w:pPr>
    </w:p>
    <w:p>
      <w:pPr>
        <w:pStyle w:val="BodyText"/>
        <w:spacing w:line="240" w:lineRule="auto"/>
        <w:ind w:right="0"/>
        <w:jc w:val="both"/>
      </w:pPr>
      <w:r>
        <w:rPr/>
        <w:t>②列表说明专业毕业要求对专业培养目标的对应支撑情况并进行分析。</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2130"/>
        <w:gridCol w:w="2130"/>
        <w:gridCol w:w="2131"/>
        <w:gridCol w:w="2131"/>
      </w:tblGrid>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1"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1</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52" w:right="0"/>
              <w:jc w:val="left"/>
              <w:rPr>
                <w:rFonts w:ascii="宋体" w:hAnsi="宋体" w:cs="宋体" w:eastAsia="宋体"/>
                <w:sz w:val="21"/>
                <w:szCs w:val="21"/>
              </w:rPr>
            </w:pPr>
            <w:r>
              <w:rPr>
                <w:rFonts w:ascii="楷体" w:hAnsi="楷体" w:cs="楷体" w:eastAsia="楷体"/>
                <w:sz w:val="21"/>
                <w:szCs w:val="21"/>
              </w:rPr>
              <w:t>专业培养目标</w:t>
            </w:r>
            <w:r>
              <w:rPr>
                <w:rFonts w:ascii="楷体" w:hAnsi="楷体" w:cs="楷体" w:eastAsia="楷体"/>
                <w:spacing w:val="-59"/>
                <w:sz w:val="21"/>
                <w:szCs w:val="21"/>
              </w:rPr>
              <w:t> </w:t>
            </w:r>
            <w:r>
              <w:rPr>
                <w:rFonts w:ascii="宋体" w:hAnsi="宋体" w:cs="宋体" w:eastAsia="宋体"/>
                <w:sz w:val="21"/>
                <w:szCs w:val="21"/>
              </w:rPr>
              <w:t>2</w:t>
            </w:r>
          </w:p>
        </w:tc>
        <w:tc>
          <w:tcPr>
            <w:tcW w:w="213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2"/>
              <w:jc w:val="center"/>
              <w:rPr>
                <w:rFonts w:ascii="楷体" w:hAnsi="楷体" w:cs="楷体" w:eastAsia="楷体"/>
                <w:sz w:val="21"/>
                <w:szCs w:val="21"/>
              </w:rPr>
            </w:pPr>
            <w:r>
              <w:rPr>
                <w:rFonts w:ascii="楷体" w:hAnsi="楷体" w:cs="楷体" w:eastAsia="楷体"/>
                <w:sz w:val="21"/>
                <w:szCs w:val="21"/>
              </w:rPr>
              <w:t>……</w:t>
            </w: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1</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350" w:right="0"/>
              <w:jc w:val="left"/>
              <w:rPr>
                <w:rFonts w:ascii="宋体" w:hAnsi="宋体" w:cs="宋体" w:eastAsia="宋体"/>
                <w:sz w:val="21"/>
                <w:szCs w:val="21"/>
              </w:rPr>
            </w:pPr>
            <w:r>
              <w:rPr>
                <w:rFonts w:ascii="楷体" w:hAnsi="楷体" w:cs="楷体" w:eastAsia="楷体"/>
                <w:sz w:val="21"/>
                <w:szCs w:val="21"/>
              </w:rPr>
              <w:t>专业毕业要求</w:t>
            </w:r>
            <w:r>
              <w:rPr>
                <w:rFonts w:ascii="楷体" w:hAnsi="楷体" w:cs="楷体" w:eastAsia="楷体"/>
                <w:spacing w:val="-56"/>
                <w:sz w:val="21"/>
                <w:szCs w:val="21"/>
              </w:rPr>
              <w:t> </w:t>
            </w:r>
            <w:r>
              <w:rPr>
                <w:rFonts w:ascii="宋体" w:hAnsi="宋体" w:cs="宋体" w:eastAsia="宋体"/>
                <w:sz w:val="21"/>
                <w:szCs w:val="21"/>
              </w:rPr>
              <w:t>2</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1"/>
              <w:jc w:val="center"/>
              <w:rPr>
                <w:rFonts w:ascii="楷体" w:hAnsi="楷体" w:cs="楷体" w:eastAsia="楷体"/>
                <w:sz w:val="21"/>
                <w:szCs w:val="21"/>
              </w:rPr>
            </w:pPr>
            <w:r>
              <w:rPr>
                <w:rFonts w:ascii="楷体" w:hAnsi="楷体" w:cs="楷体" w:eastAsia="楷体"/>
                <w:sz w:val="21"/>
                <w:szCs w:val="21"/>
              </w:rPr>
              <w:t>……</w:t>
            </w:r>
          </w:p>
        </w:tc>
        <w:tc>
          <w:tcPr>
            <w:tcW w:w="2130"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c>
          <w:tcPr>
            <w:tcW w:w="213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8"/>
          <w:szCs w:val="28"/>
        </w:rPr>
      </w:pPr>
    </w:p>
    <w:p>
      <w:pPr>
        <w:pStyle w:val="BodyText"/>
        <w:spacing w:line="424" w:lineRule="auto"/>
        <w:ind w:right="35"/>
        <w:jc w:val="left"/>
      </w:pPr>
      <w:r>
        <w:rPr/>
        <w:t>③列表说明专业毕业要求对认证标准“毕业要求”10</w:t>
      </w:r>
      <w:r>
        <w:rPr>
          <w:spacing w:val="-18"/>
        </w:rPr>
        <w:t> </w:t>
      </w:r>
      <w:r>
        <w:rPr>
          <w:spacing w:val="-3"/>
        </w:rPr>
        <w:t>条（2.1-2.10）的覆盖情况并进</w:t>
      </w:r>
      <w:r>
        <w:rPr/>
        <w:t> </w:t>
      </w:r>
      <w:r>
        <w:rPr>
          <w:spacing w:val="-5"/>
        </w:rPr>
        <w:t>行分析（专业不宜照搬这 </w:t>
      </w:r>
      <w:r>
        <w:rPr/>
        <w:t>10</w:t>
      </w:r>
      <w:r>
        <w:rPr>
          <w:spacing w:val="26"/>
        </w:rPr>
        <w:t> </w:t>
      </w:r>
      <w:r>
        <w:rPr>
          <w:spacing w:val="-3"/>
        </w:rPr>
        <w:t>条要求，而应结合本专业培养目标制定出自己的毕业要</w:t>
      </w:r>
    </w:p>
    <w:p>
      <w:pPr>
        <w:pStyle w:val="BodyText"/>
        <w:spacing w:line="240" w:lineRule="auto" w:before="65"/>
        <w:ind w:right="35"/>
        <w:jc w:val="left"/>
      </w:pPr>
      <w:r>
        <w:rPr/>
        <w:t>求，并在广度、深度和程度上完全覆盖认证标准 10 </w:t>
      </w:r>
      <w:r>
        <w:rPr>
          <w:spacing w:val="-24"/>
        </w:rPr>
        <w:t>条内容）。</w:t>
      </w:r>
    </w:p>
    <w:p>
      <w:pPr>
        <w:spacing w:line="240" w:lineRule="auto" w:before="8"/>
        <w:rPr>
          <w:rFonts w:ascii="华文楷体" w:hAnsi="华文楷体" w:cs="华文楷体" w:eastAsia="华文楷体"/>
          <w:sz w:val="18"/>
          <w:szCs w:val="18"/>
        </w:rPr>
      </w:pPr>
    </w:p>
    <w:p>
      <w:pPr>
        <w:pStyle w:val="BodyText"/>
        <w:spacing w:line="240" w:lineRule="auto"/>
        <w:ind w:left="1968" w:right="2086"/>
        <w:jc w:val="center"/>
      </w:pPr>
      <w:r>
        <w:rPr/>
        <w:t>专业毕业要求与认证标准毕业要求 10 条对照表</w:t>
      </w:r>
    </w:p>
    <w:p>
      <w:pPr>
        <w:spacing w:line="240" w:lineRule="auto" w:before="0"/>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4253"/>
        <w:gridCol w:w="4252"/>
      </w:tblGrid>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650" w:right="0"/>
              <w:jc w:val="left"/>
              <w:rPr>
                <w:rFonts w:ascii="楷体" w:hAnsi="楷体" w:cs="楷体" w:eastAsia="楷体"/>
                <w:sz w:val="21"/>
                <w:szCs w:val="21"/>
              </w:rPr>
            </w:pPr>
            <w:r>
              <w:rPr>
                <w:rFonts w:ascii="楷体" w:hAnsi="楷体" w:cs="楷体" w:eastAsia="楷体"/>
                <w:sz w:val="21"/>
                <w:szCs w:val="21"/>
              </w:rPr>
              <w:t>专业毕业要求（列出标准原文）</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41" w:right="0"/>
              <w:jc w:val="left"/>
              <w:rPr>
                <w:rFonts w:ascii="楷体" w:hAnsi="楷体" w:cs="楷体" w:eastAsia="楷体"/>
                <w:sz w:val="21"/>
                <w:szCs w:val="21"/>
              </w:rPr>
            </w:pPr>
            <w:r>
              <w:rPr>
                <w:rFonts w:ascii="楷体" w:hAnsi="楷体" w:cs="楷体" w:eastAsia="楷体"/>
                <w:sz w:val="21"/>
                <w:szCs w:val="21"/>
              </w:rPr>
              <w:t>认证标准毕业要求（列出标准原文）</w:t>
            </w: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53" w:type="dxa"/>
            <w:tcBorders>
              <w:top w:val="single" w:sz="4" w:space="0" w:color="000000"/>
              <w:left w:val="single" w:sz="4" w:space="0" w:color="000000"/>
              <w:bottom w:val="single" w:sz="4" w:space="0" w:color="000000"/>
              <w:right w:val="single" w:sz="4" w:space="0" w:color="000000"/>
            </w:tcBorders>
          </w:tcPr>
          <w:p>
            <w:pPr/>
          </w:p>
        </w:tc>
        <w:tc>
          <w:tcPr>
            <w:tcW w:w="4252"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
        <w:rPr>
          <w:rFonts w:ascii="华文楷体" w:hAnsi="华文楷体" w:cs="华文楷体" w:eastAsia="华文楷体"/>
          <w:sz w:val="19"/>
          <w:szCs w:val="19"/>
        </w:rPr>
      </w:pPr>
    </w:p>
    <w:p>
      <w:pPr>
        <w:pStyle w:val="BodyText"/>
        <w:spacing w:line="424" w:lineRule="auto"/>
        <w:ind w:right="35"/>
        <w:jc w:val="left"/>
      </w:pPr>
      <w:r>
        <w:rPr>
          <w:spacing w:val="-4"/>
        </w:rPr>
        <w:t>④对每项毕业要求的内涵进行合理分解，形成可教、可学、可评、可达成的指标点，</w:t>
      </w:r>
      <w:r>
        <w:rPr>
          <w:spacing w:val="-34"/>
        </w:rPr>
        <w:t> </w:t>
      </w:r>
      <w:r>
        <w:rPr>
          <w:spacing w:val="-34"/>
        </w:rPr>
      </w:r>
      <w:r>
        <w:rPr/>
        <w:t>每项毕业要求可分解成多个指标点（建议不多于 4 </w:t>
      </w:r>
      <w:r>
        <w:rPr>
          <w:spacing w:val="-40"/>
        </w:rPr>
        <w:t>个）。</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rFonts w:ascii="楷体" w:hAnsi="楷体" w:cs="楷体" w:eastAsia="楷体"/>
        </w:rPr>
        <w:t>⑤</w:t>
      </w:r>
      <w:r>
        <w:rPr/>
        <w:t>逐条描述说明专业毕业要求达成情况，填写最近一次专业毕业要求达成评价结果 表（可用认证标准 7.2</w:t>
      </w:r>
      <w:r>
        <w:rPr>
          <w:spacing w:val="9"/>
        </w:rPr>
        <w:t> </w:t>
      </w:r>
      <w:r>
        <w:rPr>
          <w:spacing w:val="-6"/>
        </w:rPr>
        <w:t>内部监控有关毕业要求达成评价相关信息举证）。</w:t>
      </w:r>
    </w:p>
    <w:p>
      <w:pPr>
        <w:pStyle w:val="BodyText"/>
        <w:spacing w:line="240" w:lineRule="auto" w:before="65"/>
        <w:ind w:left="2640" w:right="35"/>
        <w:jc w:val="left"/>
      </w:pPr>
      <w:r>
        <w:rPr/>
        <w:t>最近一次毕业要求达成评价结果表</w:t>
      </w:r>
    </w:p>
    <w:p>
      <w:pPr>
        <w:spacing w:after="0" w:line="240" w:lineRule="auto"/>
        <w:jc w:val="left"/>
        <w:sectPr>
          <w:pgSz w:w="12240" w:h="15840"/>
          <w:pgMar w:header="773" w:footer="697"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1276"/>
        <w:gridCol w:w="715"/>
        <w:gridCol w:w="703"/>
        <w:gridCol w:w="850"/>
        <w:gridCol w:w="992"/>
        <w:gridCol w:w="851"/>
        <w:gridCol w:w="850"/>
        <w:gridCol w:w="981"/>
        <w:gridCol w:w="1004"/>
      </w:tblGrid>
      <w:tr>
        <w:trPr>
          <w:trHeight w:val="484" w:hRule="exact"/>
        </w:trPr>
        <w:tc>
          <w:tcPr>
            <w:tcW w:w="1276" w:type="dxa"/>
            <w:vMerge w:val="restart"/>
            <w:tcBorders>
              <w:top w:val="single" w:sz="4" w:space="0" w:color="000000"/>
              <w:left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4"/>
                <w:szCs w:val="14"/>
              </w:rPr>
            </w:pPr>
          </w:p>
          <w:p>
            <w:pPr>
              <w:pStyle w:val="TableParagraph"/>
              <w:spacing w:line="240" w:lineRule="auto"/>
              <w:ind w:right="1"/>
              <w:jc w:val="center"/>
              <w:rPr>
                <w:rFonts w:ascii="楷体" w:hAnsi="楷体" w:cs="楷体" w:eastAsia="楷体"/>
                <w:sz w:val="21"/>
                <w:szCs w:val="21"/>
              </w:rPr>
            </w:pPr>
            <w:r>
              <w:rPr>
                <w:rFonts w:ascii="楷体" w:hAnsi="楷体" w:cs="楷体" w:eastAsia="楷体"/>
                <w:sz w:val="21"/>
                <w:szCs w:val="21"/>
              </w:rPr>
              <w:t>专业毕业</w:t>
            </w:r>
          </w:p>
          <w:p>
            <w:pPr>
              <w:pStyle w:val="TableParagraph"/>
              <w:spacing w:line="420" w:lineRule="atLeast" w:before="120"/>
              <w:ind w:left="108" w:right="107"/>
              <w:jc w:val="center"/>
              <w:rPr>
                <w:rFonts w:ascii="楷体" w:hAnsi="楷体" w:cs="楷体" w:eastAsia="楷体"/>
                <w:sz w:val="21"/>
                <w:szCs w:val="21"/>
              </w:rPr>
            </w:pPr>
            <w:r>
              <w:rPr>
                <w:rFonts w:ascii="楷体" w:hAnsi="楷体" w:cs="楷体" w:eastAsia="楷体"/>
                <w:sz w:val="21"/>
                <w:szCs w:val="21"/>
              </w:rPr>
              <w:t>要求（条文</w:t>
            </w:r>
            <w:r>
              <w:rPr>
                <w:rFonts w:ascii="楷体" w:hAnsi="楷体" w:cs="楷体" w:eastAsia="楷体"/>
                <w:w w:val="99"/>
                <w:sz w:val="21"/>
                <w:szCs w:val="21"/>
              </w:rPr>
              <w:t> </w:t>
            </w:r>
            <w:r>
              <w:rPr>
                <w:rFonts w:ascii="楷体" w:hAnsi="楷体" w:cs="楷体" w:eastAsia="楷体"/>
                <w:sz w:val="21"/>
                <w:szCs w:val="21"/>
              </w:rPr>
              <w:t>内容）</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1</w:t>
            </w:r>
            <w:r>
              <w:rPr>
                <w:rFonts w:ascii="宋体"/>
                <w:sz w:val="21"/>
              </w:rPr>
            </w:r>
          </w:p>
        </w:tc>
        <w:tc>
          <w:tcPr>
            <w:tcW w:w="70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right="1"/>
              <w:jc w:val="center"/>
              <w:rPr>
                <w:rFonts w:ascii="宋体" w:hAnsi="宋体" w:cs="宋体" w:eastAsia="宋体"/>
                <w:sz w:val="21"/>
                <w:szCs w:val="21"/>
              </w:rPr>
            </w:pPr>
            <w:r>
              <w:rPr>
                <w:rFonts w:ascii="宋体"/>
                <w:w w:val="99"/>
                <w:sz w:val="21"/>
              </w:rPr>
              <w:t>2</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3</w:t>
            </w:r>
            <w:r>
              <w:rPr>
                <w:rFonts w:ascii="宋体"/>
                <w:sz w:val="21"/>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0"/>
              <w:jc w:val="center"/>
              <w:rPr>
                <w:rFonts w:ascii="宋体" w:hAnsi="宋体" w:cs="宋体" w:eastAsia="宋体"/>
                <w:sz w:val="21"/>
                <w:szCs w:val="21"/>
              </w:rPr>
            </w:pPr>
            <w:r>
              <w:rPr>
                <w:rFonts w:ascii="宋体"/>
                <w:w w:val="99"/>
                <w:sz w:val="21"/>
              </w:rPr>
              <w:t>4</w:t>
            </w:r>
            <w:r>
              <w:rPr>
                <w:rFonts w:ascii="宋体"/>
                <w:sz w:val="21"/>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right="0"/>
              <w:jc w:val="center"/>
              <w:rPr>
                <w:rFonts w:ascii="宋体" w:hAnsi="宋体" w:cs="宋体" w:eastAsia="宋体"/>
                <w:sz w:val="21"/>
                <w:szCs w:val="21"/>
              </w:rPr>
            </w:pPr>
            <w:r>
              <w:rPr>
                <w:rFonts w:ascii="宋体"/>
                <w:w w:val="99"/>
                <w:sz w:val="21"/>
              </w:rPr>
              <w:t>5</w:t>
            </w:r>
            <w:r>
              <w:rPr>
                <w:rFonts w:ascii="宋体"/>
                <w:sz w:val="21"/>
              </w:rPr>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right="0"/>
              <w:jc w:val="center"/>
              <w:rPr>
                <w:rFonts w:ascii="宋体" w:hAnsi="宋体" w:cs="宋体" w:eastAsia="宋体"/>
                <w:sz w:val="21"/>
                <w:szCs w:val="21"/>
              </w:rPr>
            </w:pPr>
            <w:r>
              <w:rPr>
                <w:rFonts w:ascii="宋体"/>
                <w:w w:val="99"/>
                <w:sz w:val="21"/>
              </w:rPr>
              <w:t>6</w:t>
            </w:r>
            <w:r>
              <w:rPr>
                <w:rFonts w:ascii="宋体"/>
                <w:sz w:val="21"/>
              </w:rPr>
            </w:r>
          </w:p>
        </w:tc>
        <w:tc>
          <w:tcPr>
            <w:tcW w:w="9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7"/>
              <w:ind w:right="1"/>
              <w:jc w:val="center"/>
              <w:rPr>
                <w:rFonts w:ascii="宋体" w:hAnsi="宋体" w:cs="宋体" w:eastAsia="宋体"/>
                <w:sz w:val="21"/>
                <w:szCs w:val="21"/>
              </w:rPr>
            </w:pPr>
            <w:r>
              <w:rPr>
                <w:rFonts w:ascii="宋体"/>
                <w:w w:val="99"/>
                <w:sz w:val="21"/>
              </w:rPr>
              <w:t>7</w:t>
            </w:r>
            <w:r>
              <w:rPr>
                <w:rFonts w:ascii="宋体"/>
                <w:sz w:val="21"/>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left="286" w:right="0"/>
              <w:jc w:val="left"/>
              <w:rPr>
                <w:rFonts w:ascii="楷体" w:hAnsi="楷体" w:cs="楷体" w:eastAsia="楷体"/>
                <w:sz w:val="21"/>
                <w:szCs w:val="21"/>
              </w:rPr>
            </w:pPr>
            <w:r>
              <w:rPr>
                <w:rFonts w:ascii="楷体" w:hAnsi="楷体" w:cs="楷体" w:eastAsia="楷体"/>
                <w:sz w:val="21"/>
                <w:szCs w:val="21"/>
              </w:rPr>
              <w:t>……</w:t>
            </w:r>
          </w:p>
        </w:tc>
      </w:tr>
      <w:tr>
        <w:trPr>
          <w:trHeight w:val="1026" w:hRule="exact"/>
        </w:trPr>
        <w:tc>
          <w:tcPr>
            <w:tcW w:w="1276" w:type="dxa"/>
            <w:vMerge/>
            <w:tcBorders>
              <w:left w:val="single" w:sz="4" w:space="0" w:color="000000"/>
              <w:bottom w:val="single" w:sz="4" w:space="0" w:color="000000"/>
              <w:right w:val="single" w:sz="4" w:space="0" w:color="000000"/>
            </w:tcBorders>
          </w:tcPr>
          <w:p>
            <w:pP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r>
        <w:trPr>
          <w:trHeight w:val="1270" w:hRule="exact"/>
        </w:trPr>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ind w:left="139" w:right="107" w:hanging="32"/>
              <w:jc w:val="both"/>
              <w:rPr>
                <w:rFonts w:ascii="楷体" w:hAnsi="楷体" w:cs="楷体" w:eastAsia="楷体"/>
                <w:sz w:val="21"/>
                <w:szCs w:val="21"/>
              </w:rPr>
            </w:pPr>
            <w:r>
              <w:rPr>
                <w:rFonts w:ascii="楷体" w:hAnsi="楷体" w:cs="楷体" w:eastAsia="楷体"/>
                <w:sz w:val="21"/>
                <w:szCs w:val="21"/>
              </w:rPr>
              <w:t>达成度评价</w:t>
            </w:r>
            <w:r>
              <w:rPr>
                <w:rFonts w:ascii="楷体" w:hAnsi="楷体" w:cs="楷体" w:eastAsia="楷体"/>
                <w:w w:val="99"/>
                <w:sz w:val="21"/>
                <w:szCs w:val="21"/>
              </w:rPr>
              <w:t> </w:t>
            </w:r>
            <w:r>
              <w:rPr>
                <w:rFonts w:ascii="楷体" w:hAnsi="楷体" w:cs="楷体" w:eastAsia="楷体"/>
                <w:sz w:val="21"/>
                <w:szCs w:val="21"/>
              </w:rPr>
              <w:t>结果（</w:t>
            </w:r>
            <w:r>
              <w:rPr>
                <w:rFonts w:ascii="楷体" w:hAnsi="楷体" w:cs="楷体" w:eastAsia="楷体"/>
                <w:sz w:val="18"/>
                <w:szCs w:val="18"/>
              </w:rPr>
              <w:t>数据</w:t>
            </w:r>
            <w:r>
              <w:rPr>
                <w:rFonts w:ascii="楷体" w:hAnsi="楷体" w:cs="楷体" w:eastAsia="楷体"/>
                <w:sz w:val="18"/>
                <w:szCs w:val="18"/>
              </w:rPr>
              <w:t> 或文字</w:t>
            </w:r>
            <w:r>
              <w:rPr>
                <w:rFonts w:ascii="楷体" w:hAnsi="楷体" w:cs="楷体" w:eastAsia="楷体"/>
                <w:sz w:val="21"/>
                <w:szCs w:val="21"/>
              </w:rPr>
              <w:t>）</w:t>
            </w:r>
          </w:p>
        </w:tc>
        <w:tc>
          <w:tcPr>
            <w:tcW w:w="715" w:type="dxa"/>
            <w:tcBorders>
              <w:top w:val="single" w:sz="4" w:space="0" w:color="000000"/>
              <w:left w:val="single" w:sz="4" w:space="0" w:color="000000"/>
              <w:bottom w:val="single" w:sz="4" w:space="0" w:color="000000"/>
              <w:right w:val="single" w:sz="4" w:space="0" w:color="000000"/>
            </w:tcBorders>
          </w:tcPr>
          <w:p>
            <w:pPr/>
          </w:p>
        </w:tc>
        <w:tc>
          <w:tcPr>
            <w:tcW w:w="703"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92" w:type="dxa"/>
            <w:tcBorders>
              <w:top w:val="single" w:sz="4" w:space="0" w:color="000000"/>
              <w:left w:val="single" w:sz="4" w:space="0" w:color="000000"/>
              <w:bottom w:val="single" w:sz="4" w:space="0" w:color="000000"/>
              <w:right w:val="single" w:sz="4" w:space="0" w:color="000000"/>
            </w:tcBorders>
          </w:tcPr>
          <w:p>
            <w:pPr/>
          </w:p>
        </w:tc>
        <w:tc>
          <w:tcPr>
            <w:tcW w:w="851" w:type="dxa"/>
            <w:tcBorders>
              <w:top w:val="single" w:sz="4" w:space="0" w:color="000000"/>
              <w:left w:val="single" w:sz="4" w:space="0" w:color="000000"/>
              <w:bottom w:val="single" w:sz="4" w:space="0" w:color="000000"/>
              <w:right w:val="single" w:sz="4" w:space="0" w:color="000000"/>
            </w:tcBorders>
          </w:tcPr>
          <w:p>
            <w:pPr/>
          </w:p>
        </w:tc>
        <w:tc>
          <w:tcPr>
            <w:tcW w:w="850" w:type="dxa"/>
            <w:tcBorders>
              <w:top w:val="single" w:sz="4" w:space="0" w:color="000000"/>
              <w:left w:val="single" w:sz="4" w:space="0" w:color="000000"/>
              <w:bottom w:val="single" w:sz="4" w:space="0" w:color="000000"/>
              <w:right w:val="single" w:sz="4" w:space="0" w:color="000000"/>
            </w:tcBorders>
          </w:tcPr>
          <w:p>
            <w:pPr/>
          </w:p>
        </w:tc>
        <w:tc>
          <w:tcPr>
            <w:tcW w:w="981" w:type="dxa"/>
            <w:tcBorders>
              <w:top w:val="single" w:sz="4" w:space="0" w:color="000000"/>
              <w:left w:val="single" w:sz="4" w:space="0" w:color="000000"/>
              <w:bottom w:val="single" w:sz="4" w:space="0" w:color="000000"/>
              <w:right w:val="single" w:sz="4" w:space="0" w:color="000000"/>
            </w:tcBorders>
          </w:tcPr>
          <w:p>
            <w:pPr/>
          </w:p>
        </w:tc>
        <w:tc>
          <w:tcPr>
            <w:tcW w:w="100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9"/>
          <w:szCs w:val="19"/>
        </w:rPr>
      </w:pPr>
    </w:p>
    <w:p>
      <w:pPr>
        <w:pStyle w:val="Heading5"/>
        <w:spacing w:line="355" w:lineRule="exact"/>
        <w:ind w:right="0"/>
        <w:jc w:val="both"/>
        <w:rPr>
          <w:b w:val="0"/>
          <w:bCs w:val="0"/>
        </w:rPr>
      </w:pPr>
      <w:bookmarkStart w:name="第二部分：主要问题" w:id="224"/>
      <w:bookmarkEnd w:id="224"/>
      <w:r>
        <w:rPr>
          <w:b w:val="0"/>
          <w:bCs w:val="0"/>
        </w:rPr>
      </w:r>
      <w:r>
        <w:rPr/>
        <w:t>第二部分：主要问题</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5"/>
        <w:rPr>
          <w:rFonts w:ascii="楷体" w:hAnsi="楷体" w:cs="楷体" w:eastAsia="楷体"/>
          <w:sz w:val="28"/>
          <w:szCs w:val="28"/>
        </w:rPr>
      </w:pPr>
    </w:p>
    <w:p>
      <w:pPr>
        <w:pStyle w:val="Heading5"/>
        <w:spacing w:line="240" w:lineRule="auto"/>
        <w:ind w:right="0"/>
        <w:jc w:val="both"/>
        <w:rPr>
          <w:b w:val="0"/>
          <w:bCs w:val="0"/>
        </w:rPr>
      </w:pPr>
      <w:bookmarkStart w:name="第三部分：改进措施" w:id="225"/>
      <w:bookmarkEnd w:id="225"/>
      <w:r>
        <w:rPr>
          <w:b w:val="0"/>
          <w:bCs w:val="0"/>
        </w:rPr>
      </w:r>
      <w:r>
        <w:rPr/>
        <w:t>第三部分：改进措施</w:t>
      </w:r>
      <w:r>
        <w:rPr>
          <w:b w:val="0"/>
          <w:bCs w:val="0"/>
        </w:rPr>
      </w:r>
    </w:p>
    <w:p>
      <w:pPr>
        <w:spacing w:line="240" w:lineRule="auto" w:before="8"/>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both"/>
        <w:rPr>
          <w:b w:val="0"/>
          <w:bCs w:val="0"/>
        </w:rPr>
      </w:pPr>
      <w:bookmarkStart w:name="标准3课程与教学" w:id="226"/>
      <w:bookmarkEnd w:id="226"/>
      <w:r>
        <w:rPr>
          <w:b w:val="0"/>
          <w:bCs w:val="0"/>
        </w:rPr>
      </w:r>
      <w:r>
        <w:rPr/>
        <w:t>标准 3</w:t>
      </w:r>
      <w:r>
        <w:rPr>
          <w:spacing w:val="-32"/>
        </w:rPr>
        <w:t> </w:t>
      </w:r>
      <w:r>
        <w:rPr/>
        <w:t>课程与教学</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27"/>
      <w:bookmarkEnd w:id="227"/>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3"/>
        <w:ind w:right="0"/>
        <w:jc w:val="left"/>
        <w:rPr>
          <w:rFonts w:ascii="微软雅黑" w:hAnsi="微软雅黑" w:cs="微软雅黑" w:eastAsia="微软雅黑"/>
        </w:rPr>
      </w:pPr>
      <w:r>
        <w:rPr>
          <w:rFonts w:ascii="微软雅黑" w:hAnsi="微软雅黑" w:cs="微软雅黑" w:eastAsia="微软雅黑"/>
        </w:rPr>
        <w:t>3.1 [课程设置] 课程体系设置合理，符合幼儿园教师专业标准、教师教育课程标准 和专业教学相关标准要求，跟踪对接学前教育改革前沿，能够支撑毕业要求达成。</w:t>
      </w:r>
    </w:p>
    <w:p>
      <w:pPr>
        <w:spacing w:line="240" w:lineRule="auto" w:before="4"/>
        <w:rPr>
          <w:rFonts w:ascii="微软雅黑" w:hAnsi="微软雅黑" w:cs="微软雅黑" w:eastAsia="微软雅黑"/>
          <w:sz w:val="14"/>
          <w:szCs w:val="14"/>
        </w:rPr>
      </w:pPr>
    </w:p>
    <w:p>
      <w:pPr>
        <w:pStyle w:val="BodyText"/>
        <w:spacing w:line="424" w:lineRule="auto"/>
        <w:ind w:right="0"/>
        <w:jc w:val="left"/>
        <w:rPr>
          <w:rFonts w:ascii="华文楷体" w:hAnsi="华文楷体" w:cs="华文楷体" w:eastAsia="华文楷体"/>
        </w:rPr>
      </w:pPr>
      <w:r>
        <w:rPr/>
        <w:t>①</w:t>
      </w:r>
      <w:r>
        <w:rPr>
          <w:spacing w:val="19"/>
        </w:rPr>
        <w:t> </w:t>
      </w:r>
      <w:r>
        <w:rPr>
          <w:spacing w:val="-4"/>
        </w:rPr>
        <w:t>描述说明现行培养方案中课程体系整体架构与特点，学分认定的规则。展示现行</w:t>
      </w:r>
      <w:r>
        <w:rPr/>
        <w:t> 完整的专业课程设置一览表，列出课程拓扑图，明确课程先修后续关系</w:t>
      </w:r>
      <w:r>
        <w:rPr>
          <w:rFonts w:ascii="华文楷体" w:hAnsi="华文楷体" w:cs="华文楷体" w:eastAsia="华文楷体"/>
          <w:b/>
          <w:bCs/>
        </w:rPr>
        <w:t>。</w:t>
      </w:r>
      <w:r>
        <w:rPr>
          <w:rFonts w:ascii="华文楷体" w:hAnsi="华文楷体" w:cs="华文楷体" w:eastAsia="华文楷体"/>
        </w:rPr>
      </w:r>
    </w:p>
    <w:p>
      <w:pPr>
        <w:spacing w:after="0" w:line="424" w:lineRule="auto"/>
        <w:jc w:val="left"/>
        <w:rPr>
          <w:rFonts w:ascii="华文楷体" w:hAnsi="华文楷体" w:cs="华文楷体" w:eastAsia="华文楷体"/>
        </w:rPr>
        <w:sectPr>
          <w:headerReference w:type="default" r:id="rId104"/>
          <w:pgSz w:w="12240" w:h="15840"/>
          <w:pgMar w:header="773" w:footer="697" w:top="960" w:bottom="880" w:left="1680" w:right="1680"/>
        </w:sectPr>
      </w:pPr>
    </w:p>
    <w:p>
      <w:pPr>
        <w:spacing w:line="240" w:lineRule="auto" w:before="0"/>
        <w:rPr>
          <w:rFonts w:ascii="华文楷体" w:hAnsi="华文楷体" w:cs="华文楷体" w:eastAsia="华文楷体"/>
          <w:b/>
          <w:bCs/>
          <w:sz w:val="20"/>
          <w:szCs w:val="20"/>
        </w:rPr>
      </w:pPr>
    </w:p>
    <w:p>
      <w:pPr>
        <w:spacing w:line="240" w:lineRule="auto" w:before="13"/>
        <w:rPr>
          <w:rFonts w:ascii="华文楷体" w:hAnsi="华文楷体" w:cs="华文楷体" w:eastAsia="华文楷体"/>
          <w:b/>
          <w:bCs/>
          <w:sz w:val="18"/>
          <w:szCs w:val="18"/>
        </w:rPr>
      </w:pPr>
    </w:p>
    <w:p>
      <w:pPr>
        <w:pStyle w:val="BodyText"/>
        <w:spacing w:line="424" w:lineRule="auto"/>
        <w:ind w:left="220" w:right="0"/>
        <w:jc w:val="left"/>
      </w:pPr>
      <w:r>
        <w:rPr/>
        <w:pict>
          <v:shape style="position:absolute;margin-left:84.360001pt;margin-top:57.6175pt;width:443.55pt;height:159pt;mso-position-horizontal-relative:page;mso-position-vertical-relative:paragraph;z-index:169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602"/>
                    <w:gridCol w:w="1818"/>
                    <w:gridCol w:w="1818"/>
                    <w:gridCol w:w="1817"/>
                    <w:gridCol w:w="1801"/>
                  </w:tblGrid>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285" w:right="0"/>
                          <w:jc w:val="left"/>
                          <w:rPr>
                            <w:rFonts w:ascii="华文楷体" w:hAnsi="华文楷体" w:cs="华文楷体" w:eastAsia="华文楷体"/>
                            <w:sz w:val="24"/>
                            <w:szCs w:val="24"/>
                          </w:rPr>
                        </w:pPr>
                        <w:r>
                          <w:rPr>
                            <w:rFonts w:ascii="华文楷体" w:hAnsi="华文楷体" w:cs="华文楷体" w:eastAsia="华文楷体"/>
                            <w:sz w:val="24"/>
                            <w:szCs w:val="24"/>
                          </w:rPr>
                          <w:t>教学环节</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0"/>
                            <w:sz w:val="24"/>
                            <w:szCs w:val="24"/>
                          </w:rPr>
                          <w:t> </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3"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2</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01" w:right="0"/>
                          <w:jc w:val="left"/>
                          <w:rPr>
                            <w:rFonts w:ascii="华文楷体" w:hAnsi="华文楷体" w:cs="华文楷体" w:eastAsia="华文楷体"/>
                            <w:sz w:val="24"/>
                            <w:szCs w:val="24"/>
                          </w:rPr>
                        </w:pPr>
                        <w:r>
                          <w:rPr>
                            <w:rFonts w:ascii="华文楷体" w:hAnsi="华文楷体" w:cs="华文楷体" w:eastAsia="华文楷体"/>
                            <w:sz w:val="24"/>
                            <w:szCs w:val="24"/>
                          </w:rPr>
                          <w:t>专业毕业要求</w:t>
                        </w:r>
                        <w:r>
                          <w:rPr>
                            <w:rFonts w:ascii="华文楷体" w:hAnsi="华文楷体" w:cs="华文楷体" w:eastAsia="华文楷体"/>
                            <w:spacing w:val="-12"/>
                            <w:sz w:val="24"/>
                            <w:szCs w:val="24"/>
                          </w:rPr>
                          <w:t> </w:t>
                        </w:r>
                        <w:r>
                          <w:rPr>
                            <w:rFonts w:ascii="华文楷体" w:hAnsi="华文楷体" w:cs="华文楷体" w:eastAsia="华文楷体"/>
                            <w:sz w:val="24"/>
                            <w:szCs w:val="24"/>
                          </w:rPr>
                          <w:t>3</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sz w:val="24"/>
                          </w:rPr>
                          <w:t>H</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sz w:val="24"/>
                          </w:rPr>
                          <w:t>L</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60" w:right="0"/>
                          <w:jc w:val="center"/>
                          <w:rPr>
                            <w:rFonts w:ascii="华文楷体" w:hAnsi="华文楷体" w:cs="华文楷体" w:eastAsia="华文楷体"/>
                            <w:sz w:val="24"/>
                            <w:szCs w:val="24"/>
                          </w:rPr>
                        </w:pPr>
                        <w:r>
                          <w:rPr>
                            <w:rFonts w:ascii="华文楷体"/>
                            <w:sz w:val="24"/>
                          </w:rPr>
                          <w:t>M</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课程</w:t>
                        </w:r>
                        <w:r>
                          <w:rPr>
                            <w:rFonts w:ascii="华文楷体" w:hAnsi="华文楷体" w:cs="华文楷体" w:eastAsia="华文楷体"/>
                            <w:spacing w:val="-1"/>
                            <w:sz w:val="24"/>
                            <w:szCs w:val="24"/>
                          </w:rPr>
                          <w:t>-</w:t>
                        </w:r>
                        <w:r>
                          <w:rPr>
                            <w:rFonts w:ascii="华文楷体" w:hAnsi="华文楷体" w:cs="华文楷体" w:eastAsia="华文楷体"/>
                            <w:sz w:val="24"/>
                            <w:szCs w:val="24"/>
                          </w:rPr>
                          <w:t>2</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sz w:val="24"/>
                          </w:rPr>
                          <w:t>H</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5"/>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463" w:right="0"/>
                          <w:jc w:val="left"/>
                          <w:rPr>
                            <w:rFonts w:ascii="华文楷体" w:hAnsi="华文楷体" w:cs="华文楷体" w:eastAsia="华文楷体"/>
                            <w:sz w:val="24"/>
                            <w:szCs w:val="24"/>
                          </w:rPr>
                        </w:pPr>
                        <w:r>
                          <w:rPr>
                            <w:rFonts w:ascii="华文楷体" w:hAnsi="华文楷体" w:cs="华文楷体" w:eastAsia="华文楷体"/>
                            <w:sz w:val="24"/>
                            <w:szCs w:val="24"/>
                          </w:rPr>
                          <w:t>实习</w:t>
                        </w:r>
                        <w:r>
                          <w:rPr>
                            <w:rFonts w:ascii="华文楷体" w:hAnsi="华文楷体" w:cs="华文楷体" w:eastAsia="华文楷体"/>
                            <w:spacing w:val="-1"/>
                            <w:sz w:val="24"/>
                            <w:szCs w:val="24"/>
                          </w:rPr>
                          <w:t>-</w:t>
                        </w:r>
                        <w:r>
                          <w:rPr>
                            <w:rFonts w:ascii="华文楷体" w:hAnsi="华文楷体" w:cs="华文楷体" w:eastAsia="华文楷体"/>
                            <w:sz w:val="24"/>
                            <w:szCs w:val="24"/>
                          </w:rPr>
                          <w:t>1</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sz w:val="24"/>
                          </w:rPr>
                          <w:t>M</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7"/>
                          <w:ind w:left="1" w:right="0"/>
                          <w:jc w:val="center"/>
                          <w:rPr>
                            <w:rFonts w:ascii="华文楷体" w:hAnsi="华文楷体" w:cs="华文楷体" w:eastAsia="华文楷体"/>
                            <w:sz w:val="24"/>
                            <w:szCs w:val="24"/>
                          </w:rPr>
                        </w:pPr>
                        <w:r>
                          <w:rPr>
                            <w:rFonts w:ascii="华文楷体"/>
                            <w:sz w:val="24"/>
                          </w:rPr>
                          <w:t>H</w:t>
                        </w:r>
                      </w:p>
                    </w:tc>
                  </w:tr>
                  <w:tr>
                    <w:trPr>
                      <w:trHeight w:val="634" w:hRule="exact"/>
                    </w:trPr>
                    <w:tc>
                      <w:tcPr>
                        <w:tcW w:w="1602"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1"/>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8"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17"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c>
                      <w:tcPr>
                        <w:tcW w:w="1801" w:type="dxa"/>
                        <w:tcBorders>
                          <w:top w:val="single" w:sz="4" w:space="0" w:color="BDBDBD"/>
                          <w:left w:val="single" w:sz="4" w:space="0" w:color="BDBDBD"/>
                          <w:bottom w:val="single" w:sz="4" w:space="0" w:color="BDBDBD"/>
                          <w:right w:val="single" w:sz="4" w:space="0" w:color="BDBDBD"/>
                        </w:tcBorders>
                      </w:tcPr>
                      <w:p>
                        <w:pPr>
                          <w:pStyle w:val="TableParagraph"/>
                          <w:spacing w:line="240" w:lineRule="auto" w:before="96"/>
                          <w:ind w:left="1" w:right="0"/>
                          <w:jc w:val="center"/>
                          <w:rPr>
                            <w:rFonts w:ascii="华文楷体" w:hAnsi="华文楷体" w:cs="华文楷体" w:eastAsia="华文楷体"/>
                            <w:sz w:val="24"/>
                            <w:szCs w:val="24"/>
                          </w:rPr>
                        </w:pPr>
                        <w:r>
                          <w:rPr>
                            <w:rFonts w:ascii="华文楷体" w:hAnsi="华文楷体" w:cs="华文楷体" w:eastAsia="华文楷体"/>
                            <w:sz w:val="24"/>
                            <w:szCs w:val="24"/>
                          </w:rPr>
                          <w:t>……</w:t>
                        </w:r>
                      </w:p>
                    </w:tc>
                  </w:tr>
                </w:tbl>
                <w:p>
                  <w:pPr/>
                </w:p>
              </w:txbxContent>
            </v:textbox>
            <w10:wrap type="none"/>
          </v:shape>
        </w:pict>
      </w:r>
      <w:r>
        <w:rPr/>
        <w:t>②列出下表中课程体系对专业毕业要求的支撑矩阵，在该矩阵中用特殊符号表示对 于每项毕业要求达成关联度最高的 2-3</w:t>
      </w:r>
      <w:r>
        <w:rPr>
          <w:spacing w:val="-1"/>
        </w:rPr>
        <w:t> </w:t>
      </w:r>
      <w:r>
        <w:rPr/>
        <w:t>门课程。</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22"/>
          <w:szCs w:val="22"/>
        </w:rPr>
      </w:pPr>
    </w:p>
    <w:p>
      <w:pPr>
        <w:spacing w:line="242" w:lineRule="auto" w:before="5"/>
        <w:ind w:left="220" w:right="288" w:firstLine="0"/>
        <w:jc w:val="both"/>
        <w:rPr>
          <w:rFonts w:ascii="华文楷体" w:hAnsi="华文楷体" w:cs="华文楷体" w:eastAsia="华文楷体"/>
          <w:sz w:val="21"/>
          <w:szCs w:val="21"/>
        </w:rPr>
      </w:pPr>
      <w:r>
        <w:rPr>
          <w:rFonts w:ascii="华文楷体" w:hAnsi="华文楷体" w:cs="华文楷体" w:eastAsia="华文楷体"/>
          <w:sz w:val="21"/>
          <w:szCs w:val="21"/>
        </w:rPr>
        <w:t>注：H 代表教学环节对毕业要求高支撑，M 代表教学环节对毕业要求中支撑，L</w:t>
      </w:r>
      <w:r>
        <w:rPr>
          <w:rFonts w:ascii="华文楷体" w:hAnsi="华文楷体" w:cs="华文楷体" w:eastAsia="华文楷体"/>
          <w:spacing w:val="-20"/>
          <w:sz w:val="21"/>
          <w:szCs w:val="21"/>
        </w:rPr>
        <w:t> </w:t>
      </w:r>
      <w:r>
        <w:rPr>
          <w:rFonts w:ascii="华文楷体" w:hAnsi="华文楷体" w:cs="华文楷体" w:eastAsia="华文楷体"/>
          <w:sz w:val="21"/>
          <w:szCs w:val="21"/>
        </w:rPr>
        <w:t>代表教学环节</w:t>
      </w:r>
      <w:r>
        <w:rPr>
          <w:rFonts w:ascii="华文楷体" w:hAnsi="华文楷体" w:cs="华文楷体" w:eastAsia="华文楷体"/>
          <w:w w:val="99"/>
          <w:sz w:val="21"/>
          <w:szCs w:val="21"/>
        </w:rPr>
        <w:t> </w:t>
      </w:r>
      <w:r>
        <w:rPr>
          <w:rFonts w:ascii="华文楷体" w:hAnsi="华文楷体" w:cs="华文楷体" w:eastAsia="华文楷体"/>
          <w:sz w:val="21"/>
          <w:szCs w:val="21"/>
        </w:rPr>
        <w:t>对毕业要求低支撑。</w:t>
      </w:r>
    </w:p>
    <w:p>
      <w:pPr>
        <w:spacing w:line="240" w:lineRule="auto" w:before="9"/>
        <w:rPr>
          <w:rFonts w:ascii="华文楷体" w:hAnsi="华文楷体" w:cs="华文楷体" w:eastAsia="华文楷体"/>
          <w:sz w:val="19"/>
          <w:szCs w:val="19"/>
        </w:rPr>
      </w:pPr>
    </w:p>
    <w:p>
      <w:pPr>
        <w:pStyle w:val="BodyText"/>
        <w:spacing w:line="424" w:lineRule="auto"/>
        <w:ind w:left="220" w:right="239"/>
        <w:jc w:val="both"/>
      </w:pPr>
      <w:r>
        <w:rPr/>
        <w:t>③列表说明课程体系设置符合幼儿园教师专业标准、教师教育课程标准和专业教学 相关标准要求，跟踪对接国际学前教育改革新趋势、新动向情况，及用于支撑专业 培养目标特色和优势的课程情况并进行分析。</w:t>
      </w:r>
    </w:p>
    <w:p>
      <w:pPr>
        <w:pStyle w:val="BodyText"/>
        <w:spacing w:line="237" w:lineRule="auto" w:before="78"/>
        <w:ind w:left="220" w:right="0"/>
        <w:jc w:val="left"/>
        <w:rPr>
          <w:rFonts w:ascii="微软雅黑" w:hAnsi="微软雅黑" w:cs="微软雅黑" w:eastAsia="微软雅黑"/>
        </w:rPr>
      </w:pPr>
      <w:r>
        <w:rPr>
          <w:rFonts w:ascii="微软雅黑" w:hAnsi="微软雅黑" w:cs="微软雅黑" w:eastAsia="微软雅黑"/>
        </w:rPr>
        <w:t>3.2 [课程结构]</w:t>
      </w:r>
      <w:r>
        <w:rPr>
          <w:rFonts w:ascii="微软雅黑" w:hAnsi="微软雅黑" w:cs="微软雅黑" w:eastAsia="微软雅黑"/>
          <w:spacing w:val="46"/>
        </w:rPr>
        <w:t> </w:t>
      </w:r>
      <w:r>
        <w:rPr>
          <w:rFonts w:ascii="微软雅黑" w:hAnsi="微软雅黑" w:cs="微软雅黑" w:eastAsia="微软雅黑"/>
          <w:spacing w:val="-3"/>
        </w:rPr>
        <w:t>课程结构体现通识教育和专业教育深度融合；理论课程与实践课程，</w:t>
      </w:r>
      <w:r>
        <w:rPr>
          <w:rFonts w:ascii="微软雅黑" w:hAnsi="微软雅黑" w:cs="微软雅黑" w:eastAsia="微软雅黑"/>
        </w:rPr>
        <w:t> 必修课与选修课设置合理，各类课程学分比例恰当，通识教育课程中的人文社会与 科学素养课程学分不低于总学分的</w:t>
      </w:r>
      <w:r>
        <w:rPr>
          <w:rFonts w:ascii="微软雅黑" w:hAnsi="微软雅黑" w:cs="微软雅黑" w:eastAsia="微软雅黑"/>
          <w:spacing w:val="-9"/>
        </w:rPr>
        <w:t> </w:t>
      </w:r>
      <w:r>
        <w:rPr>
          <w:rFonts w:ascii="微软雅黑" w:hAnsi="微软雅黑" w:cs="微软雅黑" w:eastAsia="微软雅黑"/>
          <w:spacing w:val="-4"/>
        </w:rPr>
        <w:t>10%，支撑幼儿园各领域教育的相关课程学分不</w:t>
      </w:r>
      <w:r>
        <w:rPr>
          <w:rFonts w:ascii="微软雅黑" w:hAnsi="微软雅黑" w:cs="微软雅黑" w:eastAsia="微软雅黑"/>
          <w:spacing w:val="-65"/>
        </w:rPr>
        <w:t> </w:t>
      </w:r>
      <w:r>
        <w:rPr>
          <w:rFonts w:ascii="微软雅黑" w:hAnsi="微软雅黑" w:cs="微软雅黑" w:eastAsia="微软雅黑"/>
          <w:spacing w:val="-65"/>
        </w:rPr>
      </w:r>
      <w:r>
        <w:rPr>
          <w:rFonts w:ascii="微软雅黑" w:hAnsi="微软雅黑" w:cs="微软雅黑" w:eastAsia="微软雅黑"/>
        </w:rPr>
        <w:t>低于总学分的</w:t>
      </w:r>
      <w:r>
        <w:rPr>
          <w:rFonts w:ascii="微软雅黑" w:hAnsi="微软雅黑" w:cs="微软雅黑" w:eastAsia="微软雅黑"/>
          <w:spacing w:val="-16"/>
        </w:rPr>
        <w:t> </w:t>
      </w:r>
      <w:r>
        <w:rPr>
          <w:rFonts w:ascii="微软雅黑" w:hAnsi="微软雅黑" w:cs="微软雅黑" w:eastAsia="微软雅黑"/>
        </w:rPr>
        <w:t>20%，教师教育课程达到教师教育课程标准规定的学分要求。</w:t>
      </w:r>
    </w:p>
    <w:p>
      <w:pPr>
        <w:spacing w:line="240" w:lineRule="auto" w:before="5"/>
        <w:rPr>
          <w:rFonts w:ascii="微软雅黑" w:hAnsi="微软雅黑" w:cs="微软雅黑" w:eastAsia="微软雅黑"/>
          <w:sz w:val="17"/>
          <w:szCs w:val="17"/>
        </w:rPr>
      </w:pPr>
    </w:p>
    <w:p>
      <w:pPr>
        <w:pStyle w:val="BodyText"/>
        <w:spacing w:line="240" w:lineRule="auto"/>
        <w:ind w:left="220" w:right="0"/>
        <w:jc w:val="both"/>
      </w:pPr>
      <w:r>
        <w:rPr/>
        <w:t>①描述说明课程结构体现通识教育和专业教育深度融合情况。</w:t>
      </w:r>
    </w:p>
    <w:p>
      <w:pPr>
        <w:spacing w:line="240" w:lineRule="auto" w:before="3"/>
        <w:rPr>
          <w:rFonts w:ascii="华文楷体" w:hAnsi="华文楷体" w:cs="华文楷体" w:eastAsia="华文楷体"/>
          <w:sz w:val="29"/>
          <w:szCs w:val="29"/>
        </w:rPr>
      </w:pPr>
    </w:p>
    <w:p>
      <w:pPr>
        <w:pStyle w:val="BodyText"/>
        <w:spacing w:line="424" w:lineRule="auto"/>
        <w:ind w:left="220" w:right="239"/>
        <w:jc w:val="both"/>
      </w:pPr>
      <w:r>
        <w:rPr/>
        <w:t>②描述说明各类课程设置与学分比例达到认证标准并能够满足“一践行三学会”养 成教育要求。</w:t>
      </w:r>
    </w:p>
    <w:p>
      <w:pPr>
        <w:pStyle w:val="BodyText"/>
        <w:spacing w:line="237" w:lineRule="auto" w:before="78"/>
        <w:ind w:left="220" w:right="235"/>
        <w:jc w:val="both"/>
        <w:rPr>
          <w:rFonts w:ascii="微软雅黑" w:hAnsi="微软雅黑" w:cs="微软雅黑" w:eastAsia="微软雅黑"/>
        </w:rPr>
      </w:pPr>
      <w:r>
        <w:rPr>
          <w:rFonts w:ascii="微软雅黑" w:hAnsi="微软雅黑" w:cs="微软雅黑" w:eastAsia="微软雅黑"/>
        </w:rPr>
        <w:t>3.3 [课程内容] 课程内容体现学前教育的专业性，注重基础性、科学性、综合性和 实践性，把社会主义核心价值观、师德教育有机融入课程教学中。选用优秀教材， 吸收学科前沿知识，引入幼儿园课程改革和幼儿发展与教育研究最新成果、优秀幼</w:t>
      </w:r>
    </w:p>
    <w:p>
      <w:pPr>
        <w:spacing w:after="0" w:line="237" w:lineRule="auto"/>
        <w:jc w:val="both"/>
        <w:rPr>
          <w:rFonts w:ascii="微软雅黑" w:hAnsi="微软雅黑" w:cs="微软雅黑" w:eastAsia="微软雅黑"/>
        </w:rPr>
        <w:sectPr>
          <w:pgSz w:w="12240" w:h="15840"/>
          <w:pgMar w:header="773" w:footer="697" w:top="960" w:bottom="880" w:left="1580" w:right="1560"/>
        </w:sectPr>
      </w:pPr>
    </w:p>
    <w:p>
      <w:pPr>
        <w:spacing w:line="240" w:lineRule="auto" w:before="10"/>
        <w:rPr>
          <w:rFonts w:ascii="微软雅黑" w:hAnsi="微软雅黑" w:cs="微软雅黑" w:eastAsia="微软雅黑"/>
          <w:sz w:val="4"/>
          <w:szCs w:val="4"/>
        </w:rPr>
      </w:pPr>
    </w:p>
    <w:p>
      <w:pPr>
        <w:spacing w:line="20" w:lineRule="exact"/>
        <w:ind w:left="112" w:right="0" w:firstLine="0"/>
        <w:rPr>
          <w:rFonts w:ascii="微软雅黑" w:hAnsi="微软雅黑" w:cs="微软雅黑" w:eastAsia="微软雅黑"/>
          <w:sz w:val="2"/>
          <w:szCs w:val="2"/>
        </w:rPr>
      </w:pPr>
      <w:r>
        <w:rPr>
          <w:rFonts w:ascii="微软雅黑" w:hAnsi="微软雅黑" w:cs="微软雅黑" w:eastAsia="微软雅黑"/>
          <w:sz w:val="2"/>
          <w:szCs w:val="2"/>
        </w:rPr>
        <w:pict>
          <v:group style="width:432.75pt;height:.75pt;mso-position-horizontal-relative:char;mso-position-vertical-relative:line" coordorigin="0,0" coordsize="8655,15">
            <v:group style="position:absolute;left:7;top:7;width:8640;height:2" coordorigin="7,7" coordsize="8640,2">
              <v:shape style="position:absolute;left:7;top:7;width:8640;height:2" coordorigin="7,7" coordsize="8640,0" path="m7,7l8647,7e" filled="false" stroked="true" strokeweight=".72pt" strokecolor="#000000">
                <v:path arrowok="t"/>
              </v:shape>
            </v:group>
          </v:group>
        </w:pict>
      </w:r>
      <w:r>
        <w:rPr>
          <w:rFonts w:ascii="微软雅黑" w:hAnsi="微软雅黑" w:cs="微软雅黑" w:eastAsia="微软雅黑"/>
          <w:sz w:val="2"/>
          <w:szCs w:val="2"/>
        </w:rPr>
      </w:r>
    </w:p>
    <w:p>
      <w:pPr>
        <w:spacing w:line="240" w:lineRule="auto" w:before="3"/>
        <w:rPr>
          <w:rFonts w:ascii="微软雅黑" w:hAnsi="微软雅黑" w:cs="微软雅黑" w:eastAsia="微软雅黑"/>
          <w:sz w:val="27"/>
          <w:szCs w:val="27"/>
        </w:rPr>
      </w:pPr>
    </w:p>
    <w:p>
      <w:pPr>
        <w:pStyle w:val="BodyText"/>
        <w:spacing w:line="353" w:lineRule="exact"/>
        <w:ind w:right="35"/>
        <w:jc w:val="left"/>
        <w:rPr>
          <w:rFonts w:ascii="微软雅黑" w:hAnsi="微软雅黑" w:cs="微软雅黑" w:eastAsia="微软雅黑"/>
        </w:rPr>
      </w:pPr>
      <w:r>
        <w:rPr>
          <w:rFonts w:ascii="微软雅黑" w:hAnsi="微软雅黑" w:cs="微软雅黑" w:eastAsia="微软雅黑"/>
        </w:rPr>
        <w:t>儿园教育教学案例，并能够结合师范生学习状况及时更新、完善课程内容，形成促</w:t>
      </w:r>
    </w:p>
    <w:p>
      <w:pPr>
        <w:pStyle w:val="BodyText"/>
        <w:spacing w:line="412" w:lineRule="exact"/>
        <w:ind w:right="35"/>
        <w:jc w:val="left"/>
        <w:rPr>
          <w:rFonts w:ascii="微软雅黑" w:hAnsi="微软雅黑" w:cs="微软雅黑" w:eastAsia="微软雅黑"/>
        </w:rPr>
      </w:pPr>
      <w:r>
        <w:rPr>
          <w:rFonts w:ascii="微软雅黑" w:hAnsi="微软雅黑" w:cs="微软雅黑" w:eastAsia="微软雅黑"/>
        </w:rPr>
        <w:t>进师范生发展的多样性、特色化的课程文化。</w:t>
      </w:r>
    </w:p>
    <w:p>
      <w:pPr>
        <w:spacing w:line="240" w:lineRule="auto" w:before="7"/>
        <w:rPr>
          <w:rFonts w:ascii="微软雅黑" w:hAnsi="微软雅黑" w:cs="微软雅黑" w:eastAsia="微软雅黑"/>
          <w:sz w:val="17"/>
          <w:szCs w:val="17"/>
        </w:rPr>
      </w:pPr>
    </w:p>
    <w:p>
      <w:pPr>
        <w:pStyle w:val="BodyText"/>
        <w:spacing w:line="424" w:lineRule="auto"/>
        <w:ind w:right="35"/>
        <w:jc w:val="left"/>
      </w:pPr>
      <w:r>
        <w:rPr/>
        <w:t>①描述说明课程内容体现学前教育专业性，注重基础性、科学性、综合性和实践性 情况，特别是课程教学中融入思想政治教育和师德养成教育情况并举例。</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②描述说明教材建设和管理制度情况，包括教材使用申报、遴选审核、国外优秀教 材引入等，并说明建设成效。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③描述说明课程内容引入幼儿园课程改革和幼儿发展与教育研究最新成果、优秀幼 儿园教育教学案例的情况，并举例说明。</w:t>
      </w:r>
    </w:p>
    <w:p>
      <w:pPr>
        <w:spacing w:line="240" w:lineRule="auto" w:before="1"/>
        <w:rPr>
          <w:rFonts w:ascii="华文楷体" w:hAnsi="华文楷体" w:cs="华文楷体" w:eastAsia="华文楷体"/>
          <w:sz w:val="15"/>
          <w:szCs w:val="15"/>
        </w:rPr>
      </w:pPr>
    </w:p>
    <w:p>
      <w:pPr>
        <w:pStyle w:val="BodyText"/>
        <w:spacing w:line="240" w:lineRule="auto"/>
        <w:ind w:right="35"/>
        <w:jc w:val="left"/>
      </w:pPr>
      <w:r>
        <w:rPr/>
        <w:t>④描述说明课程内容更新、动态调整机制及执行情况。</w:t>
      </w:r>
    </w:p>
    <w:p>
      <w:pPr>
        <w:spacing w:line="240" w:lineRule="auto" w:before="3"/>
        <w:rPr>
          <w:rFonts w:ascii="华文楷体" w:hAnsi="华文楷体" w:cs="华文楷体" w:eastAsia="华文楷体"/>
          <w:sz w:val="29"/>
          <w:szCs w:val="29"/>
        </w:rPr>
      </w:pPr>
    </w:p>
    <w:p>
      <w:pPr>
        <w:pStyle w:val="BodyText"/>
        <w:spacing w:line="240" w:lineRule="auto"/>
        <w:ind w:right="35"/>
        <w:jc w:val="left"/>
      </w:pPr>
      <w:r>
        <w:rPr/>
        <w:t>⑤描述说明课程文化建设情况。</w:t>
      </w:r>
    </w:p>
    <w:p>
      <w:pPr>
        <w:spacing w:line="240" w:lineRule="auto" w:before="7"/>
        <w:rPr>
          <w:rFonts w:ascii="华文楷体" w:hAnsi="华文楷体" w:cs="华文楷体" w:eastAsia="华文楷体"/>
          <w:sz w:val="19"/>
          <w:szCs w:val="19"/>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3.4</w:t>
      </w:r>
      <w:r>
        <w:rPr>
          <w:rFonts w:ascii="微软雅黑" w:hAnsi="微软雅黑" w:cs="微软雅黑" w:eastAsia="微软雅黑"/>
          <w:spacing w:val="4"/>
        </w:rPr>
        <w:t> </w:t>
      </w:r>
      <w:r>
        <w:rPr>
          <w:rFonts w:ascii="微软雅黑" w:hAnsi="微软雅黑" w:cs="微软雅黑" w:eastAsia="微软雅黑"/>
        </w:rPr>
        <w:t>[课程实施]</w:t>
      </w:r>
      <w:r>
        <w:rPr>
          <w:rFonts w:ascii="微软雅黑" w:hAnsi="微软雅黑" w:cs="微软雅黑" w:eastAsia="微软雅黑"/>
          <w:spacing w:val="59"/>
        </w:rPr>
        <w:t> </w:t>
      </w:r>
      <w:r>
        <w:rPr>
          <w:rFonts w:ascii="微软雅黑" w:hAnsi="微软雅黑" w:cs="微软雅黑" w:eastAsia="微软雅黑"/>
        </w:rPr>
        <w:t>重视课堂教学在培养过程中的基础作用。依据毕业要求制定课程目</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rPr>
        <w:t>标和教学大纲，教学内容、教学方法、考核内容与方式应能支持课程目标的实现。 </w:t>
      </w:r>
      <w:r>
        <w:rPr>
          <w:rFonts w:ascii="微软雅黑" w:hAnsi="微软雅黑" w:cs="微软雅黑" w:eastAsia="微软雅黑"/>
          <w:spacing w:val="-4"/>
        </w:rPr>
        <w:t>注重师范生的主体参与和实践体验，注重以课堂教学、课外指导提升自主学习能力，</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注重应用信息技术推进教与学的改革。技能训练课程实行小班教学，形式多样，富 </w:t>
      </w:r>
      <w:r>
        <w:rPr>
          <w:rFonts w:ascii="微软雅黑" w:hAnsi="微软雅黑" w:cs="微软雅黑" w:eastAsia="微软雅黑"/>
          <w:spacing w:val="-4"/>
        </w:rPr>
        <w:t>有成效，师范生“三字一话”等从教基本功扎实。校园文化活动具有教师教育特色，</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有利于养成从教信念、专业素养与创新能力。</w:t>
      </w:r>
    </w:p>
    <w:p>
      <w:pPr>
        <w:spacing w:line="240" w:lineRule="auto" w:before="8"/>
        <w:rPr>
          <w:rFonts w:ascii="微软雅黑" w:hAnsi="微软雅黑" w:cs="微软雅黑" w:eastAsia="微软雅黑"/>
          <w:sz w:val="17"/>
          <w:szCs w:val="17"/>
        </w:rPr>
      </w:pPr>
    </w:p>
    <w:p>
      <w:pPr>
        <w:pStyle w:val="BodyText"/>
        <w:spacing w:line="240" w:lineRule="auto"/>
        <w:ind w:right="35"/>
        <w:jc w:val="left"/>
      </w:pPr>
      <w:r>
        <w:rPr/>
        <w:t>①描述说明课堂教学建设和管理制度。</w:t>
      </w:r>
    </w:p>
    <w:p>
      <w:pPr>
        <w:spacing w:line="240" w:lineRule="auto" w:before="3"/>
        <w:rPr>
          <w:rFonts w:ascii="华文楷体" w:hAnsi="华文楷体" w:cs="华文楷体" w:eastAsia="华文楷体"/>
          <w:sz w:val="29"/>
          <w:szCs w:val="29"/>
        </w:rPr>
      </w:pPr>
    </w:p>
    <w:p>
      <w:pPr>
        <w:pStyle w:val="BodyText"/>
        <w:spacing w:line="424" w:lineRule="auto"/>
        <w:ind w:right="35"/>
        <w:jc w:val="left"/>
      </w:pPr>
      <w:r>
        <w:rPr/>
        <w:t>②描述说明依据毕业要求制定课程目标和教学大纲情况，教学内容、教学方法、考 核内容与方式等教学环节如何支持课程目标的实现。</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③描述说明专业注重师范生的主体参与和实践体验，以课堂教学、课外指导提升自 主学习能力，应用信息技术推进教与学的改革情况。</w:t>
      </w:r>
    </w:p>
    <w:p>
      <w:pPr>
        <w:spacing w:after="0" w:line="424" w:lineRule="auto"/>
        <w:jc w:val="left"/>
        <w:sectPr>
          <w:headerReference w:type="default" r:id="rId105"/>
          <w:footerReference w:type="default" r:id="rId106"/>
          <w:pgSz w:w="12240" w:h="15840"/>
          <w:pgMar w:header="0" w:footer="697" w:top="880" w:bottom="880" w:left="1680" w:right="1560"/>
          <w:pgNumType w:start="8"/>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0"/>
        <w:jc w:val="left"/>
      </w:pPr>
      <w:r>
        <w:rPr/>
        <w:t>④描述说明教师基本技能、幼儿园教师从教基本功训练以及师德养成教育情况与效 果。</w:t>
      </w:r>
    </w:p>
    <w:p>
      <w:pPr>
        <w:spacing w:line="240" w:lineRule="auto" w:before="1"/>
        <w:rPr>
          <w:rFonts w:ascii="华文楷体" w:hAnsi="华文楷体" w:cs="华文楷体" w:eastAsia="华文楷体"/>
          <w:sz w:val="15"/>
          <w:szCs w:val="15"/>
        </w:rPr>
      </w:pPr>
    </w:p>
    <w:p>
      <w:pPr>
        <w:pStyle w:val="BodyText"/>
        <w:spacing w:line="240" w:lineRule="auto"/>
        <w:ind w:right="0"/>
        <w:jc w:val="left"/>
      </w:pPr>
      <w:r>
        <w:rPr>
          <w:rFonts w:ascii="楷体" w:hAnsi="楷体" w:cs="楷体" w:eastAsia="楷体"/>
        </w:rPr>
        <w:t>⑤</w:t>
      </w:r>
      <w:r>
        <w:rPr/>
        <w:t>描述说明校园文化活动对师范生从教信仰、专业素养与创新能力培养的作用。</w:t>
      </w:r>
    </w:p>
    <w:p>
      <w:pPr>
        <w:spacing w:line="240" w:lineRule="auto" w:before="12"/>
        <w:rPr>
          <w:rFonts w:ascii="华文楷体" w:hAnsi="华文楷体" w:cs="华文楷体" w:eastAsia="华文楷体"/>
          <w:sz w:val="20"/>
          <w:szCs w:val="20"/>
        </w:rPr>
      </w:pPr>
    </w:p>
    <w:p>
      <w:pPr>
        <w:pStyle w:val="BodyText"/>
        <w:spacing w:line="410" w:lineRule="exact"/>
        <w:ind w:right="0"/>
        <w:jc w:val="left"/>
        <w:rPr>
          <w:rFonts w:ascii="微软雅黑" w:hAnsi="微软雅黑" w:cs="微软雅黑" w:eastAsia="微软雅黑"/>
        </w:rPr>
      </w:pPr>
      <w:r>
        <w:rPr>
          <w:rFonts w:ascii="微软雅黑" w:hAnsi="微软雅黑" w:cs="微软雅黑" w:eastAsia="微软雅黑"/>
        </w:rPr>
        <w:t>3.5 [课程评价] 定期评价课程体系的合理性和课程目标的达成度，并能够根据评价 结果进行修订。评价与修订过程应有利益相关方参与。</w:t>
      </w:r>
    </w:p>
    <w:p>
      <w:pPr>
        <w:spacing w:line="240" w:lineRule="auto" w:before="6"/>
        <w:rPr>
          <w:rFonts w:ascii="微软雅黑" w:hAnsi="微软雅黑" w:cs="微软雅黑" w:eastAsia="微软雅黑"/>
          <w:sz w:val="25"/>
          <w:szCs w:val="25"/>
        </w:rPr>
      </w:pPr>
    </w:p>
    <w:p>
      <w:pPr>
        <w:pStyle w:val="BodyText"/>
        <w:spacing w:line="424" w:lineRule="auto"/>
        <w:ind w:right="0"/>
        <w:jc w:val="left"/>
      </w:pPr>
      <w:r>
        <w:rPr/>
        <w:t>①描述说明定期对课程体系合理性及课程目标达成情况进行评价的机制（包括评价 </w:t>
      </w:r>
      <w:r>
        <w:rPr>
          <w:spacing w:val="-5"/>
        </w:rPr>
        <w:t>制度、评价依据、评价程序、评价周期和评价责任人）。</w:t>
      </w:r>
    </w:p>
    <w:p>
      <w:pPr>
        <w:pStyle w:val="BodyText"/>
        <w:spacing w:line="424" w:lineRule="auto" w:before="65"/>
        <w:ind w:right="0"/>
        <w:jc w:val="left"/>
      </w:pPr>
      <w:r>
        <w:rPr/>
        <w:t>②列表说明最近一次课程体系合理性评价及课程目标达成评价情况并评价结果进行 分析。</w:t>
      </w:r>
    </w:p>
    <w:p>
      <w:pPr>
        <w:pStyle w:val="BodyText"/>
        <w:spacing w:line="240" w:lineRule="auto" w:before="65"/>
        <w:ind w:right="0"/>
        <w:jc w:val="left"/>
      </w:pPr>
      <w:r>
        <w:rPr/>
        <w:t>③描述说明专业最近一次课程体系及课程目标根据评价结果进行修订情况。</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④描述说明用人单位、师范毕业生等利益相关方参与评价与修订的过程、方式和发 挥的作用。</w:t>
      </w:r>
    </w:p>
    <w:p>
      <w:pPr>
        <w:pStyle w:val="Heading5"/>
        <w:spacing w:line="240" w:lineRule="auto" w:before="180"/>
        <w:ind w:right="5699"/>
        <w:jc w:val="left"/>
        <w:rPr>
          <w:b w:val="0"/>
          <w:bCs w:val="0"/>
        </w:rPr>
      </w:pPr>
      <w:bookmarkStart w:name="第二部分：主要问题" w:id="228"/>
      <w:bookmarkEnd w:id="228"/>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5699"/>
        <w:jc w:val="left"/>
        <w:rPr>
          <w:b w:val="0"/>
          <w:bCs w:val="0"/>
        </w:rPr>
      </w:pPr>
      <w:bookmarkStart w:name="第三部分：改进措施" w:id="229"/>
      <w:bookmarkEnd w:id="229"/>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after="0" w:line="312" w:lineRule="exact"/>
        <w:jc w:val="left"/>
        <w:rPr>
          <w:rFonts w:ascii="楷体" w:hAnsi="楷体" w:cs="楷体" w:eastAsia="楷体"/>
        </w:rPr>
        <w:sectPr>
          <w:headerReference w:type="default" r:id="rId107"/>
          <w:pgSz w:w="12240" w:h="15840"/>
          <w:pgMar w:header="773" w:footer="697" w:top="960" w:bottom="880" w:left="1680" w:right="168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right="35"/>
        <w:jc w:val="left"/>
        <w:rPr>
          <w:b w:val="0"/>
          <w:bCs w:val="0"/>
        </w:rPr>
      </w:pPr>
      <w:bookmarkStart w:name="标准4合作与实践" w:id="230"/>
      <w:bookmarkEnd w:id="230"/>
      <w:r>
        <w:rPr>
          <w:b w:val="0"/>
          <w:bCs w:val="0"/>
        </w:rPr>
      </w:r>
      <w:r>
        <w:rPr/>
        <w:t>标准 4</w:t>
      </w:r>
      <w:r>
        <w:rPr>
          <w:spacing w:val="-32"/>
        </w:rPr>
        <w:t> </w:t>
      </w:r>
      <w:r>
        <w:rPr/>
        <w:t>合作与实践</w:t>
      </w:r>
      <w:r>
        <w:rPr>
          <w:b w:val="0"/>
          <w:bCs w:val="0"/>
        </w:rPr>
      </w:r>
    </w:p>
    <w:p>
      <w:pPr>
        <w:spacing w:line="240" w:lineRule="auto" w:before="13"/>
        <w:rPr>
          <w:rFonts w:ascii="微软雅黑" w:hAnsi="微软雅黑" w:cs="微软雅黑" w:eastAsia="微软雅黑"/>
          <w:b/>
          <w:bCs/>
          <w:sz w:val="29"/>
          <w:szCs w:val="29"/>
        </w:rPr>
      </w:pPr>
    </w:p>
    <w:p>
      <w:pPr>
        <w:pStyle w:val="Heading5"/>
        <w:spacing w:line="240" w:lineRule="auto"/>
        <w:ind w:right="35"/>
        <w:jc w:val="left"/>
        <w:rPr>
          <w:b w:val="0"/>
          <w:bCs w:val="0"/>
        </w:rPr>
      </w:pPr>
      <w:bookmarkStart w:name="第一部分：达标情况" w:id="231"/>
      <w:bookmarkEnd w:id="231"/>
      <w:r>
        <w:rPr>
          <w:b w:val="0"/>
          <w:bCs w:val="0"/>
        </w:rPr>
      </w:r>
      <w:r>
        <w:rPr/>
        <w:t>第一部分：达标情况</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26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35"/>
        <w:jc w:val="left"/>
        <w:rPr>
          <w:rFonts w:ascii="微软雅黑" w:hAnsi="微软雅黑" w:cs="微软雅黑" w:eastAsia="微软雅黑"/>
        </w:rPr>
      </w:pPr>
      <w:r>
        <w:rPr>
          <w:rFonts w:ascii="微软雅黑" w:hAnsi="微软雅黑" w:cs="微软雅黑" w:eastAsia="微软雅黑"/>
        </w:rPr>
        <w:t>4.1</w:t>
      </w:r>
      <w:r>
        <w:rPr>
          <w:rFonts w:ascii="微软雅黑" w:hAnsi="微软雅黑" w:cs="微软雅黑" w:eastAsia="微软雅黑"/>
          <w:spacing w:val="4"/>
        </w:rPr>
        <w:t> </w:t>
      </w:r>
      <w:r>
        <w:rPr>
          <w:rFonts w:ascii="微软雅黑" w:hAnsi="微软雅黑" w:cs="微软雅黑" w:eastAsia="微软雅黑"/>
        </w:rPr>
        <w:t>[协同育人]</w:t>
      </w:r>
      <w:r>
        <w:rPr>
          <w:rFonts w:ascii="微软雅黑" w:hAnsi="微软雅黑" w:cs="微软雅黑" w:eastAsia="微软雅黑"/>
          <w:spacing w:val="59"/>
        </w:rPr>
        <w:t> </w:t>
      </w:r>
      <w:r>
        <w:rPr>
          <w:rFonts w:ascii="微软雅黑" w:hAnsi="微软雅黑" w:cs="微软雅黑" w:eastAsia="微软雅黑"/>
        </w:rPr>
        <w:t>与地方教育行政部门和幼儿园建立权责明晰、稳定协调、合作共赢</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的“三位一体”协同培养机制，协同制定培养目标、设计课程体系、建设课程资源、</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组织教学团队、建设实践基地、开展教学研究、评价培养质量，形成教师培养、培 训、研究和服务一体化的合作共同体。</w:t>
      </w:r>
    </w:p>
    <w:p>
      <w:pPr>
        <w:pStyle w:val="BodyText"/>
        <w:spacing w:line="240" w:lineRule="auto" w:before="143"/>
        <w:ind w:right="35"/>
        <w:jc w:val="left"/>
      </w:pPr>
      <w:r>
        <w:rPr/>
        <w:t>①描述学校与地方教育行政部门和幼儿园建立“三位一体”协同培养机制情况。</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②描述学校与幼儿园合作搭建教师专业发展平台，形成幼儿园教师培养、培训、研 究和服务一体化的合作共同体情况。</w:t>
      </w:r>
    </w:p>
    <w:p>
      <w:pPr>
        <w:pStyle w:val="BodyText"/>
        <w:spacing w:line="240" w:lineRule="auto" w:before="65"/>
        <w:ind w:right="35"/>
        <w:jc w:val="left"/>
      </w:pPr>
      <w:r>
        <w:rPr/>
        <w:t>③描述“三位一体”协同育人工作成效。</w:t>
      </w:r>
    </w:p>
    <w:p>
      <w:pPr>
        <w:pStyle w:val="BodyText"/>
        <w:spacing w:line="414" w:lineRule="exact" w:before="126"/>
        <w:ind w:right="35"/>
        <w:jc w:val="left"/>
        <w:rPr>
          <w:rFonts w:ascii="微软雅黑" w:hAnsi="微软雅黑" w:cs="微软雅黑" w:eastAsia="微软雅黑"/>
        </w:rPr>
      </w:pPr>
      <w:r>
        <w:rPr>
          <w:rFonts w:ascii="微软雅黑" w:hAnsi="微软雅黑" w:cs="微软雅黑" w:eastAsia="微软雅黑"/>
        </w:rPr>
        <w:t>4.2 [基地建设] </w:t>
      </w:r>
      <w:r>
        <w:rPr>
          <w:rFonts w:ascii="微软雅黑" w:hAnsi="微软雅黑" w:cs="微软雅黑" w:eastAsia="微软雅黑"/>
          <w:spacing w:val="2"/>
        </w:rPr>
        <w:t> </w:t>
      </w:r>
      <w:r>
        <w:rPr>
          <w:rFonts w:ascii="微软雅黑" w:hAnsi="微软雅黑" w:cs="微软雅黑" w:eastAsia="微软雅黑"/>
        </w:rPr>
        <w:t>建有长期稳定的教育实践基地。实践基地具有良好的校风，较强的</w:t>
      </w:r>
    </w:p>
    <w:p>
      <w:pPr>
        <w:pStyle w:val="BodyText"/>
        <w:spacing w:line="413" w:lineRule="exact"/>
        <w:ind w:right="35"/>
        <w:jc w:val="left"/>
        <w:rPr>
          <w:rFonts w:ascii="微软雅黑" w:hAnsi="微软雅黑" w:cs="微软雅黑" w:eastAsia="微软雅黑"/>
        </w:rPr>
      </w:pPr>
      <w:r>
        <w:rPr>
          <w:rFonts w:ascii="微软雅黑" w:hAnsi="微软雅黑" w:cs="微软雅黑" w:eastAsia="微软雅黑"/>
        </w:rPr>
        <w:t>师资力量、学科优势、管理优势、课程资源优势和教改实践优势。每 20</w:t>
      </w:r>
      <w:r>
        <w:rPr>
          <w:rFonts w:ascii="微软雅黑" w:hAnsi="微软雅黑" w:cs="微软雅黑" w:eastAsia="微软雅黑"/>
          <w:spacing w:val="41"/>
        </w:rPr>
        <w:t> </w:t>
      </w:r>
      <w:r>
        <w:rPr>
          <w:rFonts w:ascii="微软雅黑" w:hAnsi="微软雅黑" w:cs="微软雅黑" w:eastAsia="微软雅黑"/>
        </w:rPr>
        <w:t>个实习生</w:t>
      </w:r>
    </w:p>
    <w:p>
      <w:pPr>
        <w:pStyle w:val="BodyText"/>
        <w:spacing w:line="414" w:lineRule="exact"/>
        <w:ind w:right="35"/>
        <w:jc w:val="left"/>
        <w:rPr>
          <w:rFonts w:ascii="微软雅黑" w:hAnsi="微软雅黑" w:cs="微软雅黑" w:eastAsia="微软雅黑"/>
        </w:rPr>
      </w:pPr>
      <w:r>
        <w:rPr>
          <w:rFonts w:ascii="微软雅黑" w:hAnsi="微软雅黑" w:cs="微软雅黑" w:eastAsia="微软雅黑"/>
        </w:rPr>
        <w:t>不少于 1</w:t>
      </w:r>
      <w:r>
        <w:rPr>
          <w:rFonts w:ascii="微软雅黑" w:hAnsi="微软雅黑" w:cs="微软雅黑" w:eastAsia="微软雅黑"/>
          <w:spacing w:val="-25"/>
        </w:rPr>
        <w:t> </w:t>
      </w:r>
      <w:r>
        <w:rPr>
          <w:rFonts w:ascii="微软雅黑" w:hAnsi="微软雅黑" w:cs="微软雅黑" w:eastAsia="微软雅黑"/>
        </w:rPr>
        <w:t>个教育实践基地，其中，示范性教育实践基地不少于三分之一。</w:t>
      </w:r>
    </w:p>
    <w:p>
      <w:pPr>
        <w:pStyle w:val="BodyText"/>
        <w:spacing w:line="424" w:lineRule="auto" w:before="142"/>
        <w:ind w:right="35"/>
        <w:jc w:val="left"/>
      </w:pPr>
      <w:r>
        <w:rPr/>
        <w:t>①以列表方式提供学校和院系与实务部门合作共建的实习实训基地情况（包括运行 </w:t>
      </w:r>
      <w:r>
        <w:rPr>
          <w:spacing w:val="-4"/>
        </w:rPr>
        <w:t>机制、基地设施和承担的教学任务），说明基地是否满足专业教学的需求。</w:t>
      </w:r>
    </w:p>
    <w:p>
      <w:pPr>
        <w:pStyle w:val="BodyText"/>
        <w:spacing w:line="240" w:lineRule="auto" w:before="65"/>
        <w:ind w:right="35"/>
        <w:jc w:val="left"/>
      </w:pPr>
      <w:r>
        <w:rPr/>
        <w:t>②描述学校利用实践基地开展专业培养的相关制度和举措及其成效。</w:t>
      </w:r>
    </w:p>
    <w:p>
      <w:pPr>
        <w:pStyle w:val="BodyText"/>
        <w:spacing w:line="237" w:lineRule="auto" w:before="129"/>
        <w:ind w:right="35"/>
        <w:jc w:val="left"/>
        <w:rPr>
          <w:rFonts w:ascii="微软雅黑" w:hAnsi="微软雅黑" w:cs="微软雅黑" w:eastAsia="微软雅黑"/>
        </w:rPr>
      </w:pPr>
      <w:r>
        <w:rPr>
          <w:rFonts w:ascii="微软雅黑" w:hAnsi="微软雅黑" w:cs="微软雅黑" w:eastAsia="微软雅黑"/>
        </w:rPr>
        <w:t>4.3</w:t>
      </w:r>
      <w:r>
        <w:rPr>
          <w:rFonts w:ascii="微软雅黑" w:hAnsi="微软雅黑" w:cs="微软雅黑" w:eastAsia="微软雅黑"/>
          <w:spacing w:val="4"/>
        </w:rPr>
        <w:t> </w:t>
      </w:r>
      <w:r>
        <w:rPr>
          <w:rFonts w:ascii="微软雅黑" w:hAnsi="微软雅黑" w:cs="微软雅黑" w:eastAsia="微软雅黑"/>
        </w:rPr>
        <w:t>[实践教学]</w:t>
      </w:r>
      <w:r>
        <w:rPr>
          <w:rFonts w:ascii="微软雅黑" w:hAnsi="微软雅黑" w:cs="微软雅黑" w:eastAsia="微软雅黑"/>
          <w:spacing w:val="59"/>
        </w:rPr>
        <w:t> </w:t>
      </w:r>
      <w:r>
        <w:rPr>
          <w:rFonts w:ascii="微软雅黑" w:hAnsi="微软雅黑" w:cs="微软雅黑" w:eastAsia="微软雅黑"/>
        </w:rPr>
        <w:t>实践教学体系完整，教育见习、教育实习、教育研习递进贯通，涵</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盖师德体验、保教实践、班级管理实践和教研实践等，并与其他教育环节有机衔接。</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教育实践时间累计不少于一学期。学校集中组织教育实习，保证师范生实习期间的 上课时数。</w:t>
      </w:r>
    </w:p>
    <w:p>
      <w:pPr>
        <w:pStyle w:val="BodyText"/>
        <w:spacing w:line="240" w:lineRule="auto" w:before="145"/>
        <w:ind w:right="35"/>
        <w:jc w:val="left"/>
      </w:pPr>
      <w:r>
        <w:rPr/>
        <w:t>①描述实践教学体系建设情况，及实施成效。</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②描述教育实习工作规范制定及落实情况，包括课程标准、实施计划、实习手册，</w:t>
      </w:r>
    </w:p>
    <w:p>
      <w:pPr>
        <w:spacing w:after="0" w:line="240" w:lineRule="auto"/>
        <w:jc w:val="left"/>
        <w:sectPr>
          <w:footerReference w:type="default" r:id="rId108"/>
          <w:pgSz w:w="12240" w:h="15840"/>
          <w:pgMar w:footer="697" w:header="773" w:top="960" w:bottom="880" w:left="1680" w:right="1560"/>
          <w:pgNumType w:start="1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35"/>
        <w:jc w:val="left"/>
      </w:pPr>
      <w:r>
        <w:rPr/>
        <w:t>评价标准等。</w:t>
      </w:r>
    </w:p>
    <w:p>
      <w:pPr>
        <w:spacing w:line="240" w:lineRule="auto" w:before="8"/>
        <w:rPr>
          <w:rFonts w:ascii="华文楷体" w:hAnsi="华文楷体" w:cs="华文楷体" w:eastAsia="华文楷体"/>
          <w:sz w:val="18"/>
          <w:szCs w:val="18"/>
        </w:rPr>
      </w:pPr>
    </w:p>
    <w:p>
      <w:pPr>
        <w:pStyle w:val="BodyText"/>
        <w:spacing w:line="424" w:lineRule="auto"/>
        <w:ind w:right="35"/>
        <w:jc w:val="left"/>
      </w:pPr>
      <w:r>
        <w:rPr/>
        <w:t>③描述专业组织开展集中组织教育实习、保障实习实训时间、全面评价师范生教育 实践成效等方面的情况。</w:t>
      </w:r>
    </w:p>
    <w:p>
      <w:pPr>
        <w:spacing w:line="240" w:lineRule="auto" w:before="15"/>
        <w:rPr>
          <w:rFonts w:ascii="华文楷体" w:hAnsi="华文楷体" w:cs="华文楷体" w:eastAsia="华文楷体"/>
          <w:sz w:val="15"/>
          <w:szCs w:val="15"/>
        </w:rPr>
      </w:pPr>
    </w:p>
    <w:p>
      <w:pPr>
        <w:pStyle w:val="BodyText"/>
        <w:spacing w:line="237" w:lineRule="auto"/>
        <w:ind w:right="35"/>
        <w:jc w:val="left"/>
        <w:rPr>
          <w:rFonts w:ascii="微软雅黑" w:hAnsi="微软雅黑" w:cs="微软雅黑" w:eastAsia="微软雅黑"/>
        </w:rPr>
      </w:pPr>
      <w:r>
        <w:rPr>
          <w:rFonts w:ascii="微软雅黑" w:hAnsi="微软雅黑" w:cs="微软雅黑" w:eastAsia="微软雅黑"/>
        </w:rPr>
        <w:t>4.4</w:t>
      </w:r>
      <w:r>
        <w:rPr>
          <w:rFonts w:ascii="微软雅黑" w:hAnsi="微软雅黑" w:cs="微软雅黑" w:eastAsia="微软雅黑"/>
          <w:spacing w:val="4"/>
        </w:rPr>
        <w:t> </w:t>
      </w:r>
      <w:r>
        <w:rPr>
          <w:rFonts w:ascii="微软雅黑" w:hAnsi="微软雅黑" w:cs="微软雅黑" w:eastAsia="微软雅黑"/>
        </w:rPr>
        <w:t>[导师队伍]</w:t>
      </w:r>
      <w:r>
        <w:rPr>
          <w:rFonts w:ascii="微软雅黑" w:hAnsi="微软雅黑" w:cs="微软雅黑" w:eastAsia="微软雅黑"/>
          <w:spacing w:val="59"/>
        </w:rPr>
        <w:t> </w:t>
      </w:r>
      <w:r>
        <w:rPr>
          <w:rFonts w:ascii="微软雅黑" w:hAnsi="微软雅黑" w:cs="微软雅黑" w:eastAsia="微软雅黑"/>
        </w:rPr>
        <w:t>实行高校教师与优秀幼儿园教师共同指导教育实践的“双导师”制</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10"/>
        </w:rPr>
        <w:t>度。有遴选、培训、评价和支持教育实践指导教师的制度与措施。“双导师”数量足，</w:t>
      </w:r>
      <w:r>
        <w:rPr>
          <w:rFonts w:ascii="微软雅黑" w:hAnsi="微软雅黑" w:cs="微软雅黑" w:eastAsia="微软雅黑"/>
          <w:spacing w:val="-51"/>
        </w:rPr>
        <w:t> </w:t>
      </w:r>
      <w:r>
        <w:rPr>
          <w:rFonts w:ascii="微软雅黑" w:hAnsi="微软雅黑" w:cs="微软雅黑" w:eastAsia="微软雅黑"/>
          <w:spacing w:val="-51"/>
        </w:rPr>
      </w:r>
      <w:r>
        <w:rPr>
          <w:rFonts w:ascii="微软雅黑" w:hAnsi="微软雅黑" w:cs="微软雅黑" w:eastAsia="微软雅黑"/>
        </w:rPr>
        <w:t>水平高，稳定性强，责权明确，协同育人，有效履职。</w:t>
      </w:r>
    </w:p>
    <w:p>
      <w:pPr>
        <w:spacing w:line="240" w:lineRule="auto" w:before="8"/>
        <w:rPr>
          <w:rFonts w:ascii="微软雅黑" w:hAnsi="微软雅黑" w:cs="微软雅黑" w:eastAsia="微软雅黑"/>
          <w:sz w:val="26"/>
          <w:szCs w:val="26"/>
        </w:rPr>
      </w:pPr>
    </w:p>
    <w:p>
      <w:pPr>
        <w:pStyle w:val="BodyText"/>
        <w:spacing w:line="424" w:lineRule="auto"/>
        <w:ind w:right="239"/>
        <w:jc w:val="both"/>
      </w:pPr>
      <w:r>
        <w:rPr/>
        <w:t>①描述说明学校实行高校教师与幼儿园教师共同指导教育实践的“双导师”制度与 具体措施，包括导师遴选、人员配置、实践指导、能力提升、条件保障、考核评价 与动态调整等方面。</w:t>
      </w:r>
    </w:p>
    <w:p>
      <w:pPr>
        <w:pStyle w:val="BodyText"/>
        <w:spacing w:line="240" w:lineRule="auto" w:before="65"/>
        <w:ind w:right="35"/>
        <w:jc w:val="left"/>
      </w:pPr>
      <w:r>
        <w:rPr/>
        <w:t>②描述说明学校对“双导师”的定期业务指导和专业培训开展情况及其成效。</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③描述说明学校对“双导师”协同育人、有效履职的定期考核以及动态调整情况。</w:t>
      </w:r>
    </w:p>
    <w:p>
      <w:pPr>
        <w:spacing w:line="240" w:lineRule="auto" w:before="8"/>
        <w:rPr>
          <w:rFonts w:ascii="华文楷体" w:hAnsi="华文楷体" w:cs="华文楷体" w:eastAsia="华文楷体"/>
          <w:sz w:val="18"/>
          <w:szCs w:val="18"/>
        </w:rPr>
      </w:pPr>
    </w:p>
    <w:p>
      <w:pPr>
        <w:pStyle w:val="BodyText"/>
        <w:spacing w:line="240" w:lineRule="auto"/>
        <w:ind w:right="35"/>
        <w:jc w:val="left"/>
      </w:pPr>
      <w:r>
        <w:rPr/>
        <w:t>④描述说明学校支持教育实践指导教师的专门制度与措施。</w:t>
      </w:r>
    </w:p>
    <w:p>
      <w:pPr>
        <w:spacing w:line="240" w:lineRule="auto" w:before="7"/>
        <w:rPr>
          <w:rFonts w:ascii="华文楷体" w:hAnsi="华文楷体" w:cs="华文楷体" w:eastAsia="华文楷体"/>
          <w:sz w:val="31"/>
          <w:szCs w:val="31"/>
        </w:rPr>
      </w:pPr>
    </w:p>
    <w:p>
      <w:pPr>
        <w:pStyle w:val="BodyText"/>
        <w:spacing w:line="410" w:lineRule="exact"/>
        <w:ind w:right="35"/>
        <w:jc w:val="left"/>
        <w:rPr>
          <w:rFonts w:ascii="微软雅黑" w:hAnsi="微软雅黑" w:cs="微软雅黑" w:eastAsia="微软雅黑"/>
        </w:rPr>
      </w:pPr>
      <w:r>
        <w:rPr>
          <w:rFonts w:ascii="微软雅黑" w:hAnsi="微软雅黑" w:cs="微软雅黑" w:eastAsia="微软雅黑"/>
        </w:rPr>
        <w:t>4.5</w:t>
      </w:r>
      <w:r>
        <w:rPr>
          <w:rFonts w:ascii="微软雅黑" w:hAnsi="微软雅黑" w:cs="微软雅黑" w:eastAsia="微软雅黑"/>
          <w:spacing w:val="4"/>
        </w:rPr>
        <w:t> </w:t>
      </w:r>
      <w:r>
        <w:rPr>
          <w:rFonts w:ascii="微软雅黑" w:hAnsi="微软雅黑" w:cs="微软雅黑" w:eastAsia="微软雅黑"/>
        </w:rPr>
        <w:t>[管理评价]</w:t>
      </w:r>
      <w:r>
        <w:rPr>
          <w:rFonts w:ascii="微软雅黑" w:hAnsi="微软雅黑" w:cs="微软雅黑" w:eastAsia="微软雅黑"/>
          <w:spacing w:val="59"/>
        </w:rPr>
        <w:t> </w:t>
      </w:r>
      <w:r>
        <w:rPr>
          <w:rFonts w:ascii="微软雅黑" w:hAnsi="微软雅黑" w:cs="微软雅黑" w:eastAsia="微软雅黑"/>
        </w:rPr>
        <w:t>教育实践管理规范，能够对全过程实施质量监控，严格实行教育实</w:t>
      </w:r>
      <w:r>
        <w:rPr>
          <w:rFonts w:ascii="微软雅黑" w:hAnsi="微软雅黑" w:cs="微软雅黑" w:eastAsia="微软雅黑"/>
          <w:spacing w:val="-62"/>
        </w:rPr>
        <w:t> </w:t>
      </w:r>
      <w:r>
        <w:rPr>
          <w:rFonts w:ascii="微软雅黑" w:hAnsi="微软雅黑" w:cs="微软雅黑" w:eastAsia="微软雅黑"/>
          <w:spacing w:val="-62"/>
        </w:rPr>
      </w:r>
      <w:r>
        <w:rPr>
          <w:rFonts w:ascii="微软雅黑" w:hAnsi="微软雅黑" w:cs="微软雅黑" w:eastAsia="微软雅黑"/>
          <w:spacing w:val="-4"/>
        </w:rPr>
        <w:t>践评价与改进制度。具有教育实践标准，采取过程评价与成果考核评价相结合方式，</w:t>
      </w:r>
      <w:r>
        <w:rPr>
          <w:rFonts w:ascii="微软雅黑" w:hAnsi="微软雅黑" w:cs="微软雅黑" w:eastAsia="微软雅黑"/>
          <w:spacing w:val="-44"/>
        </w:rPr>
        <w:t> </w:t>
      </w:r>
      <w:r>
        <w:rPr>
          <w:rFonts w:ascii="微软雅黑" w:hAnsi="微软雅黑" w:cs="微软雅黑" w:eastAsia="微软雅黑"/>
          <w:spacing w:val="-44"/>
        </w:rPr>
      </w:r>
      <w:r>
        <w:rPr>
          <w:rFonts w:ascii="微软雅黑" w:hAnsi="微软雅黑" w:cs="微软雅黑" w:eastAsia="微软雅黑"/>
        </w:rPr>
        <w:t>对实践能力和教育教学反思能力进行科学有效评价。</w:t>
      </w:r>
    </w:p>
    <w:p>
      <w:pPr>
        <w:spacing w:line="240" w:lineRule="auto" w:before="6"/>
        <w:rPr>
          <w:rFonts w:ascii="微软雅黑" w:hAnsi="微软雅黑" w:cs="微软雅黑" w:eastAsia="微软雅黑"/>
          <w:sz w:val="25"/>
          <w:szCs w:val="25"/>
        </w:rPr>
      </w:pPr>
    </w:p>
    <w:p>
      <w:pPr>
        <w:pStyle w:val="BodyText"/>
        <w:spacing w:line="424" w:lineRule="auto"/>
        <w:ind w:right="35"/>
        <w:jc w:val="left"/>
      </w:pPr>
      <w:r>
        <w:rPr>
          <w:spacing w:val="-4"/>
        </w:rPr>
        <w:t>①描述学校实践教学管理制度和措施，说明对教育见习、实验（实训）、保教实习、</w:t>
      </w:r>
      <w:r>
        <w:rPr>
          <w:spacing w:val="-32"/>
        </w:rPr>
        <w:t> </w:t>
      </w:r>
      <w:r>
        <w:rPr>
          <w:spacing w:val="-32"/>
        </w:rPr>
      </w:r>
      <w:r>
        <w:rPr/>
        <w:t>课程设计、毕业综合训练等实践教学全过程实施质量监控情况及实施成效。</w:t>
      </w:r>
    </w:p>
    <w:p>
      <w:pPr>
        <w:pStyle w:val="BodyText"/>
        <w:spacing w:line="424" w:lineRule="auto" w:before="65"/>
        <w:ind w:right="35"/>
        <w:jc w:val="left"/>
      </w:pPr>
      <w:r>
        <w:rPr/>
        <w:t>②描述说明学校依据实践教学质量监控具体数据，实行教育实践评价与改进制度情 况。</w:t>
      </w:r>
    </w:p>
    <w:p>
      <w:pPr>
        <w:pStyle w:val="BodyText"/>
        <w:spacing w:line="424" w:lineRule="auto" w:before="65"/>
        <w:ind w:right="35"/>
        <w:jc w:val="left"/>
      </w:pPr>
      <w:r>
        <w:rPr/>
        <w:t>③描述说明学前教育专业师范生教育实践标准，对实践能力和教育教学反思能力的 考核评价方式及效果分析。</w:t>
      </w:r>
    </w:p>
    <w:p>
      <w:pPr>
        <w:spacing w:after="0" w:line="424" w:lineRule="auto"/>
        <w:jc w:val="left"/>
        <w:sectPr>
          <w:pgSz w:w="12240" w:h="15840"/>
          <w:pgMar w:header="773" w:footer="697"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④描述实施师范生实践教学个别化教育和指导情况，并进行效果分析。</w:t>
      </w:r>
    </w:p>
    <w:p>
      <w:pPr>
        <w:spacing w:line="240" w:lineRule="auto" w:before="6"/>
        <w:rPr>
          <w:rFonts w:ascii="华文楷体" w:hAnsi="华文楷体" w:cs="华文楷体" w:eastAsia="华文楷体"/>
          <w:sz w:val="26"/>
          <w:szCs w:val="26"/>
        </w:rPr>
      </w:pPr>
    </w:p>
    <w:p>
      <w:pPr>
        <w:pStyle w:val="Heading5"/>
        <w:spacing w:line="240" w:lineRule="auto"/>
        <w:ind w:right="0"/>
        <w:jc w:val="both"/>
        <w:rPr>
          <w:b w:val="0"/>
          <w:bCs w:val="0"/>
        </w:rPr>
      </w:pPr>
      <w:bookmarkStart w:name="第二部分：主要问题" w:id="232"/>
      <w:bookmarkEnd w:id="232"/>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both"/>
        <w:rPr>
          <w:b w:val="0"/>
          <w:bCs w:val="0"/>
        </w:rPr>
      </w:pPr>
      <w:bookmarkStart w:name="第三部分：改进措施" w:id="233"/>
      <w:bookmarkEnd w:id="233"/>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119"/>
        <w:jc w:val="both"/>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198"/>
        <w:ind w:right="0"/>
        <w:jc w:val="both"/>
        <w:rPr>
          <w:b w:val="0"/>
          <w:bCs w:val="0"/>
        </w:rPr>
      </w:pPr>
      <w:bookmarkStart w:name="标准5师资队伍" w:id="234"/>
      <w:bookmarkEnd w:id="234"/>
      <w:r>
        <w:rPr>
          <w:b w:val="0"/>
          <w:bCs w:val="0"/>
        </w:rPr>
      </w:r>
      <w:r>
        <w:rPr/>
        <w:t>标准 5</w:t>
      </w:r>
      <w:r>
        <w:rPr>
          <w:spacing w:val="-32"/>
        </w:rPr>
        <w:t> </w:t>
      </w:r>
      <w:r>
        <w:rPr/>
        <w:t>师资队伍</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35"/>
      <w:bookmarkEnd w:id="235"/>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13"/>
        <w:jc w:val="both"/>
        <w:rPr>
          <w:rFonts w:ascii="微软雅黑" w:hAnsi="微软雅黑" w:cs="微软雅黑" w:eastAsia="微软雅黑"/>
        </w:rPr>
      </w:pPr>
      <w:r>
        <w:rPr>
          <w:rFonts w:ascii="微软雅黑" w:hAnsi="微软雅黑" w:cs="微软雅黑" w:eastAsia="微软雅黑"/>
        </w:rPr>
        <w:t>5.1 [数量结构] 专任教师数量结构能够适应本专业教学和发展的需要，生师比不高 于 16:1。硕士、博士学位教师占比本科一般不低于 80%、专科一般不低于</w:t>
      </w:r>
      <w:r>
        <w:rPr>
          <w:rFonts w:ascii="微软雅黑" w:hAnsi="微软雅黑" w:cs="微软雅黑" w:eastAsia="微软雅黑"/>
          <w:spacing w:val="-14"/>
        </w:rPr>
        <w:t> </w:t>
      </w:r>
      <w:r>
        <w:rPr>
          <w:rFonts w:ascii="微软雅黑" w:hAnsi="微软雅黑" w:cs="微软雅黑" w:eastAsia="微软雅黑"/>
        </w:rPr>
        <w:t>40%，</w:t>
      </w:r>
      <w:r>
        <w:rPr>
          <w:rFonts w:ascii="微软雅黑" w:hAnsi="微软雅黑" w:cs="微软雅黑" w:eastAsia="微软雅黑"/>
        </w:rPr>
        <w:t> 高级职称教师比例高于学校平均水平，且为师范生上课、担任师范生导师。幼儿园 一线兼职教师队伍稳定，占教师教育课程教师比例不低于</w:t>
      </w:r>
      <w:r>
        <w:rPr>
          <w:rFonts w:ascii="微软雅黑" w:hAnsi="微软雅黑" w:cs="微软雅黑" w:eastAsia="微软雅黑"/>
          <w:spacing w:val="-36"/>
        </w:rPr>
        <w:t> </w:t>
      </w:r>
      <w:r>
        <w:rPr>
          <w:rFonts w:ascii="微软雅黑" w:hAnsi="微软雅黑" w:cs="微软雅黑" w:eastAsia="微软雅黑"/>
          <w:spacing w:val="-4"/>
        </w:rPr>
        <w:t>20%，原则上为省市级学</w:t>
      </w:r>
      <w:r>
        <w:rPr>
          <w:rFonts w:ascii="微软雅黑" w:hAnsi="微软雅黑" w:cs="微软雅黑" w:eastAsia="微软雅黑"/>
        </w:rPr>
        <w:t> 科带头人、特级教师、高级教师，能深度参与师范生培养工作。</w:t>
      </w:r>
    </w:p>
    <w:p>
      <w:pPr>
        <w:pStyle w:val="BodyText"/>
        <w:spacing w:line="424" w:lineRule="auto" w:before="145"/>
        <w:ind w:right="119"/>
        <w:jc w:val="both"/>
      </w:pPr>
      <w:r>
        <w:rPr>
          <w:spacing w:val="-7"/>
        </w:rPr>
        <w:t>①列表说明专业专任教师数量、结构、生师比情况，并进行分析（《专业教学状态数</w:t>
      </w:r>
      <w:r>
        <w:rPr>
          <w:spacing w:val="-43"/>
        </w:rPr>
        <w:t> </w:t>
      </w:r>
      <w:r>
        <w:rPr>
          <w:spacing w:val="-43"/>
        </w:rPr>
      </w:r>
      <w:r>
        <w:rPr>
          <w:spacing w:val="-8"/>
        </w:rPr>
        <w:t>据分析报告》有相关数据信息）。</w:t>
      </w:r>
    </w:p>
    <w:p>
      <w:pPr>
        <w:pStyle w:val="BodyText"/>
        <w:spacing w:line="424" w:lineRule="auto" w:before="65"/>
        <w:ind w:right="119"/>
        <w:jc w:val="both"/>
      </w:pPr>
      <w:r>
        <w:rPr/>
        <w:t>②描述说明专业专任教师教学能力、学术水平满足师范生培养和专业教学需要的情 况。</w:t>
      </w:r>
    </w:p>
    <w:p>
      <w:pPr>
        <w:spacing w:after="0" w:line="424" w:lineRule="auto"/>
        <w:jc w:val="both"/>
        <w:sectPr>
          <w:pgSz w:w="12240" w:h="15840"/>
          <w:pgMar w:header="773" w:footer="697"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③以列表方式提供本专业所有专任教师为本科生上课的情况，并对高级职称教师投 </w:t>
      </w:r>
      <w:r>
        <w:rPr>
          <w:spacing w:val="-10"/>
        </w:rPr>
        <w:t>入本科一线教学的情况进行分析（《专业教学状态数据分析报告》有相关数据信息）。</w:t>
      </w:r>
    </w:p>
    <w:p>
      <w:pPr>
        <w:pStyle w:val="BodyText"/>
        <w:spacing w:line="240" w:lineRule="auto" w:before="65"/>
        <w:ind w:right="0"/>
        <w:jc w:val="both"/>
      </w:pPr>
      <w:r>
        <w:rPr/>
        <w:t>④描述说明近三年专业专任教师队伍建设和发展满足学生发展需要的情况。</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⑤描述说明近三年专业兼职教师队伍建设和发展满足学生发展需要的情况。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5.2 [素质能力]</w:t>
      </w:r>
      <w:r>
        <w:rPr>
          <w:rFonts w:ascii="微软雅黑" w:hAnsi="微软雅黑" w:cs="微软雅黑" w:eastAsia="微软雅黑"/>
          <w:spacing w:val="32"/>
        </w:rPr>
        <w:t> </w:t>
      </w:r>
      <w:r>
        <w:rPr>
          <w:rFonts w:ascii="微软雅黑" w:hAnsi="微软雅黑" w:cs="微软雅黑" w:eastAsia="微软雅黑"/>
          <w:spacing w:val="2"/>
        </w:rPr>
        <w:t>遵守高校教师职业道德规范，为人师表，言传身教；以生为本、</w:t>
      </w:r>
      <w:r>
        <w:rPr>
          <w:rFonts w:ascii="微软雅黑" w:hAnsi="微软雅黑" w:cs="微软雅黑" w:eastAsia="微软雅黑"/>
        </w:rPr>
        <w:t> 以学定教，具有突出的课堂教学、课程开发、信息技术应用等教育教学能力；治学 严谨，跟踪学科前沿，研究能力和创新能力较强，有较丰富的学前教育研究成果。 具有职前职后一体化指导能力，能够有效指导师范生发展与职业规划。师范生对本 专业专任教师、兼职教师师德和教学具有较高的满意度。</w:t>
      </w:r>
    </w:p>
    <w:p>
      <w:pPr>
        <w:pStyle w:val="BodyText"/>
        <w:spacing w:line="424" w:lineRule="auto" w:before="143"/>
        <w:ind w:right="239"/>
        <w:jc w:val="both"/>
      </w:pPr>
      <w:r>
        <w:rPr/>
        <w:t>①描述说明学校加强专业专任教师队伍师德师风和素质能力建设的制度和措施，及 这些制度和措施发挥的作用。</w:t>
      </w:r>
    </w:p>
    <w:p>
      <w:pPr>
        <w:pStyle w:val="BodyText"/>
        <w:spacing w:line="424" w:lineRule="auto" w:before="65"/>
        <w:ind w:right="239"/>
        <w:jc w:val="both"/>
      </w:pPr>
      <w:r>
        <w:rPr/>
        <w:t>②描述说明常态化学生评教制度与标准，包括专任教师、兼职教师评价，说明学生 满意度。</w:t>
      </w:r>
    </w:p>
    <w:p>
      <w:pPr>
        <w:pStyle w:val="BodyText"/>
        <w:spacing w:line="424" w:lineRule="auto" w:before="65"/>
        <w:ind w:right="239"/>
        <w:jc w:val="both"/>
      </w:pPr>
      <w:r>
        <w:rPr/>
        <w:t>③描述说明专业专任教师的学前教育教学改革研究成果以及应用科研成果有效促进 教育教学改革情况。</w:t>
      </w:r>
    </w:p>
    <w:p>
      <w:pPr>
        <w:pStyle w:val="BodyText"/>
        <w:spacing w:line="240" w:lineRule="auto" w:before="65"/>
        <w:ind w:right="0"/>
        <w:jc w:val="both"/>
      </w:pPr>
      <w:r>
        <w:rPr/>
        <w:t>④描述专业专任教师为学生提供职前养成和职后发展一体化指导的情况。</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5.3 [实践经历] 专业教师熟悉幼儿园教师专业标准、教师教育课程标准和幼儿园教 育教学工作，每五年至少有一年幼儿园教育服务经历，能够指导幼儿园教育教学工 作，并有丰富的教学研究成果。</w:t>
      </w:r>
    </w:p>
    <w:p>
      <w:pPr>
        <w:pStyle w:val="BodyText"/>
        <w:spacing w:line="424" w:lineRule="auto" w:before="145"/>
        <w:ind w:right="239"/>
        <w:jc w:val="both"/>
      </w:pPr>
      <w:r>
        <w:rPr/>
        <w:t>①描述说明学校和院系两级在鼓励专业教师深入幼儿园一线实践方面采取的制度和 措施。</w:t>
      </w:r>
    </w:p>
    <w:p>
      <w:pPr>
        <w:pStyle w:val="BodyText"/>
        <w:spacing w:line="424" w:lineRule="auto" w:before="65"/>
        <w:ind w:right="239"/>
        <w:jc w:val="both"/>
      </w:pPr>
      <w:r>
        <w:rPr/>
        <w:t>②描述分析这些制度和措施在激励和保障专业教师通过实践形成丰富的教学研究成 果中发挥的作用。</w:t>
      </w:r>
    </w:p>
    <w:p>
      <w:pPr>
        <w:spacing w:after="0" w:line="424" w:lineRule="auto"/>
        <w:jc w:val="both"/>
        <w:sectPr>
          <w:pgSz w:w="12240" w:h="15840"/>
          <w:pgMar w:header="773" w:footer="697"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③以列表的方式呈现专业教师近五年基于实践的教学研究成果。</w:t>
      </w:r>
    </w:p>
    <w:p>
      <w:pPr>
        <w:pStyle w:val="BodyText"/>
        <w:spacing w:line="237" w:lineRule="auto" w:before="129"/>
        <w:ind w:right="235"/>
        <w:jc w:val="both"/>
        <w:rPr>
          <w:rFonts w:ascii="微软雅黑" w:hAnsi="微软雅黑" w:cs="微软雅黑" w:eastAsia="微软雅黑"/>
        </w:rPr>
      </w:pPr>
      <w:r>
        <w:rPr>
          <w:rFonts w:ascii="微软雅黑" w:hAnsi="微软雅黑" w:cs="微软雅黑" w:eastAsia="微软雅黑"/>
        </w:rPr>
        <w:t>5.4 [持续发展] 制定并实施教师队伍建设规划。教师培训和实践研修机制完善；建 立专业教研组织，定期开展教研活动。建立合理的教师评价制度，评价结果与绩效 分配、职称评聘挂钩。高校和幼儿园“协同教研”“双向互聘”“岗位互换”等共 同发展机制健全、成效显著。</w:t>
      </w:r>
    </w:p>
    <w:p>
      <w:pPr>
        <w:pStyle w:val="BodyText"/>
        <w:spacing w:line="240" w:lineRule="auto" w:before="143"/>
        <w:ind w:right="0"/>
        <w:jc w:val="both"/>
      </w:pPr>
      <w:r>
        <w:rPr/>
        <w:t>①描述说明专业师资队伍建设规划的制定情况及实施成效。</w:t>
      </w:r>
    </w:p>
    <w:p>
      <w:pPr>
        <w:spacing w:line="240" w:lineRule="auto" w:before="8"/>
        <w:rPr>
          <w:rFonts w:ascii="华文楷体" w:hAnsi="华文楷体" w:cs="华文楷体" w:eastAsia="华文楷体"/>
          <w:sz w:val="18"/>
          <w:szCs w:val="18"/>
        </w:rPr>
      </w:pPr>
    </w:p>
    <w:p>
      <w:pPr>
        <w:pStyle w:val="BodyText"/>
        <w:spacing w:line="240" w:lineRule="auto"/>
        <w:ind w:right="0"/>
        <w:jc w:val="both"/>
      </w:pPr>
      <w:r>
        <w:rPr/>
        <w:t>②描述说明学校和学院在专业教师队伍培养培训方面的制度和措施。</w:t>
      </w:r>
    </w:p>
    <w:p>
      <w:pPr>
        <w:spacing w:line="240" w:lineRule="auto" w:before="8"/>
        <w:rPr>
          <w:rFonts w:ascii="华文楷体" w:hAnsi="华文楷体" w:cs="华文楷体" w:eastAsia="华文楷体"/>
          <w:sz w:val="18"/>
          <w:szCs w:val="18"/>
        </w:rPr>
      </w:pPr>
    </w:p>
    <w:p>
      <w:pPr>
        <w:pStyle w:val="BodyText"/>
        <w:spacing w:line="424" w:lineRule="auto"/>
        <w:ind w:right="239"/>
        <w:jc w:val="both"/>
      </w:pPr>
      <w:r>
        <w:rPr/>
        <w:t>③列表说明近三年专业教师特别是青年教师进行国内外进修访学、幼儿园一线实践 </w:t>
      </w:r>
      <w:r>
        <w:rPr>
          <w:spacing w:val="-13"/>
        </w:rPr>
        <w:t>锻炼、教学技能与方法培训情况，并对培养培训提升教师教学水平效果进行分析（《专</w:t>
      </w:r>
      <w:r>
        <w:rPr>
          <w:spacing w:val="-46"/>
        </w:rPr>
        <w:t> </w:t>
      </w:r>
      <w:r>
        <w:rPr>
          <w:spacing w:val="-46"/>
        </w:rPr>
      </w:r>
      <w:r>
        <w:rPr>
          <w:spacing w:val="-6"/>
        </w:rPr>
        <w:t>业教学状态数据分析报告》有相关数据信息）。</w:t>
      </w:r>
    </w:p>
    <w:p>
      <w:pPr>
        <w:pStyle w:val="BodyText"/>
        <w:spacing w:line="424" w:lineRule="auto" w:before="65"/>
        <w:ind w:right="35"/>
        <w:jc w:val="left"/>
      </w:pPr>
      <w:r>
        <w:rPr/>
        <w:t>④描述说明专业教研组织建设情况（包括组织形式与规模，承担的具体责任，隶属 </w:t>
      </w:r>
      <w:r>
        <w:rPr>
          <w:spacing w:val="-10"/>
        </w:rPr>
        <w:t>关系，以及责任人），及组织开展的专业建设、课程建设、教材建设、教学技能提高、</w:t>
      </w:r>
      <w:r>
        <w:rPr>
          <w:spacing w:val="-40"/>
        </w:rPr>
        <w:t> </w:t>
      </w:r>
      <w:r>
        <w:rPr>
          <w:spacing w:val="-40"/>
        </w:rPr>
      </w:r>
      <w:r>
        <w:rPr/>
        <w:t>教学方法改进等教研活动情况，说明教研组织活动的主要形式和周期以及近三年所 取得的成效。</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spacing w:val="-4"/>
        </w:rPr>
        <w:t>⑤以列表方式呈现近三年开展教师自我评价（主要指通过课程评价进行教学改进）、</w:t>
      </w:r>
      <w:r>
        <w:rPr>
          <w:spacing w:val="-32"/>
        </w:rPr>
        <w:t> </w:t>
      </w:r>
      <w:r>
        <w:rPr>
          <w:spacing w:val="-32"/>
        </w:rPr>
      </w:r>
      <w:r>
        <w:rPr/>
        <w:t>学生评价、同行评价、督导评价活动情况及结果。</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⑥描述说明综合评价结果与校内绩效分配、职称晋升的挂钩情况，及对教师教学质 量提升的作用。</w:t>
      </w:r>
    </w:p>
    <w:p>
      <w:pPr>
        <w:spacing w:line="240" w:lineRule="auto" w:before="1"/>
        <w:rPr>
          <w:rFonts w:ascii="华文楷体" w:hAnsi="华文楷体" w:cs="华文楷体" w:eastAsia="华文楷体"/>
          <w:sz w:val="15"/>
          <w:szCs w:val="15"/>
        </w:rPr>
      </w:pPr>
    </w:p>
    <w:p>
      <w:pPr>
        <w:pStyle w:val="BodyText"/>
        <w:spacing w:line="424" w:lineRule="auto"/>
        <w:ind w:right="35"/>
        <w:jc w:val="left"/>
      </w:pPr>
      <w:r>
        <w:rPr/>
        <w:t>⑦描述说明学校探索建设高校和幼儿园“协同教研”“双向互聘”“岗位互换”等 共同发展机制的情况，以及学校教师分类评价制度建设及运行情况。</w:t>
      </w:r>
    </w:p>
    <w:p>
      <w:pPr>
        <w:spacing w:after="0" w:line="424" w:lineRule="auto"/>
        <w:jc w:val="left"/>
        <w:sectPr>
          <w:pgSz w:w="12240" w:h="15840"/>
          <w:pgMar w:header="773" w:footer="697" w:top="960" w:bottom="880" w:left="1680" w:right="1560"/>
        </w:sectPr>
      </w:pPr>
    </w:p>
    <w:p>
      <w:pPr>
        <w:spacing w:line="240" w:lineRule="auto" w:before="0"/>
        <w:rPr>
          <w:rFonts w:ascii="华文楷体" w:hAnsi="华文楷体" w:cs="华文楷体" w:eastAsia="华文楷体"/>
          <w:sz w:val="20"/>
          <w:szCs w:val="20"/>
        </w:rPr>
      </w:pPr>
    </w:p>
    <w:p>
      <w:pPr>
        <w:spacing w:line="240" w:lineRule="auto" w:before="9"/>
        <w:rPr>
          <w:rFonts w:ascii="华文楷体" w:hAnsi="华文楷体" w:cs="华文楷体" w:eastAsia="华文楷体"/>
          <w:sz w:val="19"/>
          <w:szCs w:val="19"/>
        </w:rPr>
      </w:pPr>
    </w:p>
    <w:p>
      <w:pPr>
        <w:pStyle w:val="Heading5"/>
        <w:spacing w:line="355" w:lineRule="exact"/>
        <w:ind w:right="0"/>
        <w:jc w:val="left"/>
        <w:rPr>
          <w:b w:val="0"/>
          <w:bCs w:val="0"/>
        </w:rPr>
      </w:pPr>
      <w:bookmarkStart w:name="第二部分：主要问题" w:id="236"/>
      <w:bookmarkEnd w:id="236"/>
      <w:r>
        <w:rPr>
          <w:b w:val="0"/>
          <w:bCs w:val="0"/>
        </w:rPr>
      </w:r>
      <w:r>
        <w:rPr/>
        <w:t>第二部分：主要问题</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（请根据上述逐条对标情况，按标准条文明确清晰地描述分析专业对标自评中发现 的问题与不足，为专业持续改进提供依据）</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spacing w:line="240" w:lineRule="auto" w:before="3"/>
        <w:rPr>
          <w:rFonts w:ascii="楷体" w:hAnsi="楷体" w:cs="楷体" w:eastAsia="楷体"/>
          <w:sz w:val="28"/>
          <w:szCs w:val="28"/>
        </w:rPr>
      </w:pPr>
    </w:p>
    <w:p>
      <w:pPr>
        <w:pStyle w:val="Heading5"/>
        <w:spacing w:line="240" w:lineRule="auto"/>
        <w:ind w:right="0"/>
        <w:jc w:val="left"/>
        <w:rPr>
          <w:b w:val="0"/>
          <w:bCs w:val="0"/>
        </w:rPr>
      </w:pPr>
      <w:bookmarkStart w:name="第三部分：改进措施" w:id="237"/>
      <w:bookmarkEnd w:id="237"/>
      <w:r>
        <w:rPr>
          <w:b w:val="0"/>
          <w:bCs w:val="0"/>
        </w:rPr>
      </w:r>
      <w:r>
        <w:rPr/>
        <w:t>第三部分：改进措施</w:t>
      </w:r>
      <w:r>
        <w:rPr>
          <w:b w:val="0"/>
          <w:bCs w:val="0"/>
        </w:rPr>
      </w:r>
    </w:p>
    <w:p>
      <w:pPr>
        <w:spacing w:line="240" w:lineRule="auto" w:before="11"/>
        <w:rPr>
          <w:rFonts w:ascii="微软雅黑" w:hAnsi="微软雅黑" w:cs="微软雅黑" w:eastAsia="微软雅黑"/>
          <w:b/>
          <w:bCs/>
          <w:sz w:val="17"/>
          <w:szCs w:val="17"/>
        </w:rPr>
      </w:pPr>
    </w:p>
    <w:p>
      <w:pPr>
        <w:pStyle w:val="BodyText"/>
        <w:spacing w:line="312" w:lineRule="exact"/>
        <w:ind w:right="0"/>
        <w:jc w:val="left"/>
        <w:rPr>
          <w:rFonts w:ascii="楷体" w:hAnsi="楷体" w:cs="楷体" w:eastAsia="楷体"/>
        </w:rPr>
      </w:pPr>
      <w:r>
        <w:rPr>
          <w:rFonts w:ascii="楷体" w:hAnsi="楷体" w:cs="楷体" w:eastAsia="楷体"/>
        </w:rPr>
        <w:t>（请针对自评中发现的问题与不足，按标准条文明确清晰地描述采取的改进措施。 认证专家将视改进情况作出评判）</w:t>
      </w:r>
    </w:p>
    <w:p>
      <w:pPr>
        <w:spacing w:line="240" w:lineRule="auto" w:before="0"/>
        <w:rPr>
          <w:rFonts w:ascii="楷体" w:hAnsi="楷体" w:cs="楷体" w:eastAsia="楷体"/>
          <w:sz w:val="24"/>
          <w:szCs w:val="24"/>
        </w:rPr>
      </w:pPr>
    </w:p>
    <w:p>
      <w:pPr>
        <w:spacing w:line="240" w:lineRule="auto" w:before="0"/>
        <w:rPr>
          <w:rFonts w:ascii="楷体" w:hAnsi="楷体" w:cs="楷体" w:eastAsia="楷体"/>
          <w:sz w:val="24"/>
          <w:szCs w:val="24"/>
        </w:rPr>
      </w:pPr>
    </w:p>
    <w:p>
      <w:pPr>
        <w:pStyle w:val="Heading4"/>
        <w:spacing w:line="240" w:lineRule="auto" w:before="200"/>
        <w:ind w:right="0"/>
        <w:jc w:val="left"/>
        <w:rPr>
          <w:b w:val="0"/>
          <w:bCs w:val="0"/>
        </w:rPr>
      </w:pPr>
      <w:bookmarkStart w:name="标准6支持条件" w:id="238"/>
      <w:bookmarkEnd w:id="238"/>
      <w:r>
        <w:rPr>
          <w:b w:val="0"/>
          <w:bCs w:val="0"/>
        </w:rPr>
      </w:r>
      <w:r>
        <w:rPr/>
        <w:t>标准 6</w:t>
      </w:r>
      <w:r>
        <w:rPr>
          <w:spacing w:val="-32"/>
        </w:rPr>
        <w:t> </w:t>
      </w:r>
      <w:r>
        <w:rPr/>
        <w:t>支持条件</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left"/>
        <w:rPr>
          <w:b w:val="0"/>
          <w:bCs w:val="0"/>
        </w:rPr>
      </w:pPr>
      <w:bookmarkStart w:name="第一部分：达标情况" w:id="239"/>
      <w:bookmarkEnd w:id="239"/>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38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0"/>
        <w:jc w:val="left"/>
        <w:rPr>
          <w:rFonts w:ascii="微软雅黑" w:hAnsi="微软雅黑" w:cs="微软雅黑" w:eastAsia="微软雅黑"/>
        </w:rPr>
      </w:pPr>
      <w:r>
        <w:rPr>
          <w:rFonts w:ascii="微软雅黑" w:hAnsi="微软雅黑" w:cs="微软雅黑" w:eastAsia="微软雅黑"/>
        </w:rPr>
        <w:t>6.1</w:t>
      </w:r>
      <w:r>
        <w:rPr>
          <w:rFonts w:ascii="微软雅黑" w:hAnsi="微软雅黑" w:cs="微软雅黑" w:eastAsia="微软雅黑"/>
          <w:spacing w:val="2"/>
        </w:rPr>
        <w:t> </w:t>
      </w:r>
      <w:r>
        <w:rPr>
          <w:rFonts w:ascii="微软雅黑" w:hAnsi="微软雅黑" w:cs="微软雅黑" w:eastAsia="微软雅黑"/>
        </w:rPr>
        <w:t>[经费保障]</w:t>
      </w:r>
      <w:r>
        <w:rPr>
          <w:rFonts w:ascii="微软雅黑" w:hAnsi="微软雅黑" w:cs="微软雅黑" w:eastAsia="微软雅黑"/>
          <w:spacing w:val="56"/>
        </w:rPr>
        <w:t> </w:t>
      </w:r>
      <w:r>
        <w:rPr>
          <w:rFonts w:ascii="微软雅黑" w:hAnsi="微软雅黑" w:cs="微软雅黑" w:eastAsia="微软雅黑"/>
        </w:rPr>
        <w:t>专业建设经费满足师范生培养需求，教学日常运行支出占生均拨款</w:t>
      </w:r>
      <w:r>
        <w:rPr>
          <w:rFonts w:ascii="微软雅黑" w:hAnsi="微软雅黑" w:cs="微软雅黑" w:eastAsia="微软雅黑"/>
          <w:spacing w:val="-58"/>
        </w:rPr>
        <w:t> </w:t>
      </w:r>
      <w:r>
        <w:rPr>
          <w:rFonts w:ascii="微软雅黑" w:hAnsi="微软雅黑" w:cs="微软雅黑" w:eastAsia="微软雅黑"/>
          <w:spacing w:val="-58"/>
        </w:rPr>
      </w:r>
      <w:r>
        <w:rPr>
          <w:rFonts w:ascii="微软雅黑" w:hAnsi="微软雅黑" w:cs="微软雅黑" w:eastAsia="微软雅黑"/>
        </w:rPr>
        <w:t>总额与学费收入之和的比例不低于 </w:t>
      </w:r>
      <w:r>
        <w:rPr>
          <w:rFonts w:ascii="微软雅黑" w:hAnsi="微软雅黑" w:cs="微软雅黑" w:eastAsia="微软雅黑"/>
          <w:spacing w:val="-4"/>
        </w:rPr>
        <w:t>15%，生均教学日常运行支出高于学校平均水平，</w:t>
      </w:r>
      <w:r>
        <w:rPr>
          <w:rFonts w:ascii="微软雅黑" w:hAnsi="微软雅黑" w:cs="微软雅黑" w:eastAsia="微软雅黑"/>
        </w:rPr>
        <w:t> 生均教育实践经费支出高于学校平均水平。教学设施设备和图书资料等更新经费有 标准和预决算。</w:t>
      </w:r>
    </w:p>
    <w:p>
      <w:pPr>
        <w:pStyle w:val="BodyText"/>
        <w:spacing w:line="240" w:lineRule="auto" w:before="143"/>
        <w:ind w:right="0"/>
        <w:jc w:val="left"/>
      </w:pPr>
      <w:r>
        <w:rPr/>
        <w:t>①描述说明学校和院系保证专业教学经费足额投入并逐年增长的制度和采取的措施。</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②描述说明学校在学生实验、实习和毕业论文（设计）上的生均经费投入情况及满 足专业教学需要情况。</w:t>
      </w:r>
    </w:p>
    <w:p>
      <w:pPr>
        <w:pStyle w:val="BodyText"/>
        <w:spacing w:line="240" w:lineRule="auto" w:before="65"/>
        <w:ind w:right="0"/>
        <w:jc w:val="left"/>
      </w:pPr>
      <w:r>
        <w:rPr/>
        <w:t>③列表说明近三年学校和院系用于专业教学的经费收支情况。</w:t>
      </w:r>
    </w:p>
    <w:p>
      <w:pPr>
        <w:spacing w:line="240" w:lineRule="auto" w:before="2"/>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288" w:right="0"/>
              <w:jc w:val="left"/>
              <w:rPr>
                <w:rFonts w:ascii="楷体" w:hAnsi="楷体" w:cs="楷体" w:eastAsia="楷体"/>
                <w:sz w:val="18"/>
                <w:szCs w:val="18"/>
              </w:rPr>
            </w:pPr>
            <w:r>
              <w:rPr>
                <w:rFonts w:ascii="楷体" w:hAnsi="楷体" w:cs="楷体" w:eastAsia="楷体"/>
                <w:sz w:val="18"/>
                <w:szCs w:val="18"/>
              </w:rPr>
              <w:t>年份</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43" w:right="0"/>
              <w:jc w:val="left"/>
              <w:rPr>
                <w:rFonts w:ascii="楷体" w:hAnsi="楷体" w:cs="楷体" w:eastAsia="楷体"/>
                <w:sz w:val="18"/>
                <w:szCs w:val="18"/>
              </w:rPr>
            </w:pPr>
            <w:r>
              <w:rPr>
                <w:rFonts w:ascii="楷体" w:hAnsi="楷体" w:cs="楷体" w:eastAsia="楷体"/>
                <w:sz w:val="18"/>
                <w:szCs w:val="18"/>
              </w:rPr>
              <w:t>收入总数</w:t>
            </w: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来源</w:t>
            </w:r>
          </w:p>
        </w:tc>
        <w:tc>
          <w:tcPr>
            <w:tcW w:w="11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1"/>
              <w:jc w:val="center"/>
              <w:rPr>
                <w:rFonts w:ascii="楷体" w:hAnsi="楷体" w:cs="楷体" w:eastAsia="楷体"/>
                <w:sz w:val="18"/>
                <w:szCs w:val="18"/>
              </w:rPr>
            </w:pPr>
            <w:r>
              <w:rPr>
                <w:rFonts w:ascii="楷体" w:hAnsi="楷体" w:cs="楷体" w:eastAsia="楷体"/>
                <w:sz w:val="18"/>
                <w:szCs w:val="18"/>
              </w:rPr>
              <w:t>数额</w:t>
            </w: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支出项目</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数额</w:t>
            </w:r>
          </w:p>
        </w:tc>
      </w:tr>
      <w:tr>
        <w:trPr>
          <w:trHeight w:val="476" w:hRule="exact"/>
        </w:trPr>
        <w:tc>
          <w:tcPr>
            <w:tcW w:w="948" w:type="dxa"/>
            <w:tcBorders>
              <w:top w:val="single" w:sz="4" w:space="0" w:color="000000"/>
              <w:left w:val="single" w:sz="4" w:space="0" w:color="000000"/>
              <w:bottom w:val="single" w:sz="4" w:space="0" w:color="000000"/>
              <w:right w:val="single" w:sz="4" w:space="0" w:color="000000"/>
            </w:tcBorders>
          </w:tcPr>
          <w:p>
            <w:pPr/>
          </w:p>
        </w:tc>
        <w:tc>
          <w:tcPr>
            <w:tcW w:w="1417" w:type="dxa"/>
            <w:tcBorders>
              <w:top w:val="single" w:sz="4" w:space="0" w:color="000000"/>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国家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课程建设</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header="773" w:footer="697" w:top="960" w:bottom="880" w:left="1680" w:right="1440"/>
        </w:sectPr>
      </w:pPr>
    </w:p>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948"/>
        <w:gridCol w:w="1417"/>
        <w:gridCol w:w="1034"/>
        <w:gridCol w:w="1100"/>
        <w:gridCol w:w="1977"/>
        <w:gridCol w:w="1276"/>
      </w:tblGrid>
      <w:tr>
        <w:trPr>
          <w:trHeight w:val="478" w:hRule="exact"/>
        </w:trPr>
        <w:tc>
          <w:tcPr>
            <w:tcW w:w="948" w:type="dxa"/>
            <w:vMerge w:val="restart"/>
            <w:tcBorders>
              <w:top w:val="single" w:sz="4" w:space="0" w:color="000000"/>
              <w:left w:val="single" w:sz="4" w:space="0" w:color="000000"/>
              <w:right w:val="single" w:sz="4" w:space="0" w:color="000000"/>
            </w:tcBorders>
          </w:tcPr>
          <w:p>
            <w:pPr/>
          </w:p>
        </w:tc>
        <w:tc>
          <w:tcPr>
            <w:tcW w:w="1417" w:type="dxa"/>
            <w:vMerge w:val="restart"/>
            <w:tcBorders>
              <w:top w:val="single" w:sz="4" w:space="0" w:color="000000"/>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地方</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教学设备</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社会</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442" w:right="0"/>
              <w:jc w:val="left"/>
              <w:rPr>
                <w:rFonts w:ascii="楷体" w:hAnsi="楷体" w:cs="楷体" w:eastAsia="楷体"/>
                <w:sz w:val="18"/>
                <w:szCs w:val="18"/>
              </w:rPr>
            </w:pPr>
            <w:r>
              <w:rPr>
                <w:rFonts w:ascii="楷体" w:hAnsi="楷体" w:cs="楷体" w:eastAsia="楷体"/>
                <w:sz w:val="18"/>
                <w:szCs w:val="18"/>
              </w:rPr>
              <w:t>日常教学开支</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right w:val="single" w:sz="4" w:space="0" w:color="000000"/>
            </w:tcBorders>
          </w:tcPr>
          <w:p>
            <w:pPr/>
          </w:p>
        </w:tc>
        <w:tc>
          <w:tcPr>
            <w:tcW w:w="1417" w:type="dxa"/>
            <w:vMerge/>
            <w:tcBorders>
              <w:left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创收</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教改</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948" w:type="dxa"/>
            <w:vMerge/>
            <w:tcBorders>
              <w:left w:val="single" w:sz="4"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332" w:right="0"/>
              <w:jc w:val="left"/>
              <w:rPr>
                <w:rFonts w:ascii="楷体" w:hAnsi="楷体" w:cs="楷体" w:eastAsia="楷体"/>
                <w:sz w:val="18"/>
                <w:szCs w:val="18"/>
              </w:rPr>
            </w:pPr>
            <w:r>
              <w:rPr>
                <w:rFonts w:ascii="楷体" w:hAnsi="楷体" w:cs="楷体" w:eastAsia="楷体"/>
                <w:sz w:val="18"/>
                <w:szCs w:val="18"/>
              </w:rPr>
              <w:t>其它</w:t>
            </w:r>
          </w:p>
        </w:tc>
        <w:tc>
          <w:tcPr>
            <w:tcW w:w="1100" w:type="dxa"/>
            <w:tcBorders>
              <w:top w:val="single" w:sz="4" w:space="0" w:color="000000"/>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学生支持</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val="restart"/>
            <w:tcBorders>
              <w:top w:val="single" w:sz="4" w:space="0" w:color="000000"/>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学生实验</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华文楷体" w:hAnsi="华文楷体" w:cs="华文楷体" w:eastAsia="华文楷体"/>
                <w:sz w:val="11"/>
                <w:szCs w:val="11"/>
              </w:rPr>
            </w:pPr>
          </w:p>
          <w:p>
            <w:pPr>
              <w:pStyle w:val="TableParagraph"/>
              <w:spacing w:line="240" w:lineRule="auto"/>
              <w:ind w:left="622" w:right="0"/>
              <w:jc w:val="left"/>
              <w:rPr>
                <w:rFonts w:ascii="楷体" w:hAnsi="楷体" w:cs="楷体" w:eastAsia="楷体"/>
                <w:sz w:val="18"/>
                <w:szCs w:val="18"/>
              </w:rPr>
            </w:pPr>
            <w:r>
              <w:rPr>
                <w:rFonts w:ascii="楷体" w:hAnsi="楷体" w:cs="楷体" w:eastAsia="楷体"/>
                <w:sz w:val="18"/>
                <w:szCs w:val="18"/>
              </w:rPr>
              <w:t>学生实习</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left="262" w:right="0"/>
              <w:jc w:val="left"/>
              <w:rPr>
                <w:rFonts w:ascii="楷体" w:hAnsi="楷体" w:cs="楷体" w:eastAsia="楷体"/>
                <w:sz w:val="18"/>
                <w:szCs w:val="18"/>
              </w:rPr>
            </w:pPr>
            <w:r>
              <w:rPr>
                <w:rFonts w:ascii="楷体" w:hAnsi="楷体" w:cs="楷体" w:eastAsia="楷体"/>
                <w:sz w:val="18"/>
                <w:szCs w:val="18"/>
              </w:rPr>
              <w:t>毕业论文（设计）</w:t>
            </w: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499" w:type="dxa"/>
            <w:gridSpan w:val="4"/>
            <w:vMerge/>
            <w:tcBorders>
              <w:left w:val="single" w:sz="4" w:space="0" w:color="000000"/>
              <w:bottom w:val="single" w:sz="4" w:space="0" w:color="000000"/>
              <w:right w:val="single" w:sz="4" w:space="0" w:color="000000"/>
            </w:tcBorders>
          </w:tcPr>
          <w:p>
            <w:pPr/>
          </w:p>
        </w:tc>
        <w:tc>
          <w:tcPr>
            <w:tcW w:w="19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240" w:lineRule="auto"/>
              <w:ind w:right="0"/>
              <w:jc w:val="center"/>
              <w:rPr>
                <w:rFonts w:ascii="楷体" w:hAnsi="楷体" w:cs="楷体" w:eastAsia="楷体"/>
                <w:sz w:val="18"/>
                <w:szCs w:val="18"/>
              </w:rPr>
            </w:pPr>
            <w:r>
              <w:rPr>
                <w:rFonts w:ascii="楷体" w:hAnsi="楷体" w:cs="楷体" w:eastAsia="楷体"/>
                <w:sz w:val="18"/>
                <w:szCs w:val="18"/>
              </w:rPr>
              <w:t>其它</w:t>
            </w: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2"/>
        <w:rPr>
          <w:rFonts w:ascii="华文楷体" w:hAnsi="华文楷体" w:cs="华文楷体" w:eastAsia="华文楷体"/>
          <w:sz w:val="21"/>
          <w:szCs w:val="21"/>
        </w:rPr>
      </w:pPr>
    </w:p>
    <w:p>
      <w:pPr>
        <w:pStyle w:val="BodyText"/>
        <w:spacing w:line="354" w:lineRule="exact"/>
        <w:ind w:right="0"/>
        <w:jc w:val="both"/>
        <w:rPr>
          <w:rFonts w:ascii="微软雅黑" w:hAnsi="微软雅黑" w:cs="微软雅黑" w:eastAsia="微软雅黑"/>
        </w:rPr>
      </w:pPr>
      <w:r>
        <w:rPr>
          <w:rFonts w:ascii="微软雅黑" w:hAnsi="微软雅黑" w:cs="微软雅黑" w:eastAsia="微软雅黑"/>
        </w:rPr>
        <w:t>6.2 [设施保障] </w:t>
      </w:r>
      <w:r>
        <w:rPr>
          <w:rFonts w:ascii="微软雅黑" w:hAnsi="微软雅黑" w:cs="微软雅黑" w:eastAsia="微软雅黑"/>
          <w:spacing w:val="2"/>
        </w:rPr>
        <w:t> </w:t>
      </w:r>
      <w:r>
        <w:rPr>
          <w:rFonts w:ascii="微软雅黑" w:hAnsi="微软雅黑" w:cs="微软雅黑" w:eastAsia="微软雅黑"/>
        </w:rPr>
        <w:t>教育教学设施完备。建有学前教育专业教师职业技能实训平台，满</w:t>
      </w:r>
    </w:p>
    <w:p>
      <w:pPr>
        <w:pStyle w:val="BodyText"/>
        <w:spacing w:line="237" w:lineRule="auto" w:before="2"/>
        <w:ind w:right="159"/>
        <w:jc w:val="both"/>
        <w:rPr>
          <w:rFonts w:ascii="微软雅黑" w:hAnsi="微软雅黑" w:cs="微软雅黑" w:eastAsia="微软雅黑"/>
        </w:rPr>
      </w:pPr>
      <w:r>
        <w:rPr>
          <w:rFonts w:ascii="微软雅黑" w:hAnsi="微软雅黑" w:cs="微软雅黑" w:eastAsia="微软雅黑"/>
        </w:rPr>
        <w:t>足保育实践、营养卫生实践、实验教学、教玩具设计与制作训练、教学技能训练、 艺术技能训练等实践教学需要。信息化教育设施能够支撑专业教学改革与师范生学 习方式转变。教育教学设施管理、维护、更新和共享机制顺畅，师范生使用便捷、 充分。</w:t>
      </w:r>
    </w:p>
    <w:p>
      <w:pPr>
        <w:pStyle w:val="BodyText"/>
        <w:spacing w:line="424" w:lineRule="auto" w:before="145"/>
        <w:ind w:right="159"/>
        <w:jc w:val="both"/>
      </w:pPr>
      <w:r>
        <w:rPr/>
        <w:t>①列表说明学校和院系用于学前教育专业教学的主要教学实验室、教师职业技能实 </w:t>
      </w:r>
      <w:r>
        <w:rPr>
          <w:spacing w:val="-13"/>
        </w:rPr>
        <w:t>训平台、实验实训设施满足保育实践、营养卫生实践等实践教学任务需要情况。（《专</w:t>
      </w:r>
      <w:r>
        <w:rPr>
          <w:spacing w:val="-48"/>
        </w:rPr>
        <w:t> </w:t>
      </w:r>
      <w:r>
        <w:rPr>
          <w:spacing w:val="-48"/>
        </w:rPr>
      </w:r>
      <w:r>
        <w:rPr/>
        <w:t>业教学状态数据分析报告》有相关数据信息）</w:t>
      </w:r>
    </w:p>
    <w:p>
      <w:pPr>
        <w:pStyle w:val="BodyText"/>
        <w:spacing w:line="424" w:lineRule="auto" w:before="65"/>
        <w:ind w:right="159"/>
        <w:jc w:val="both"/>
      </w:pPr>
      <w:r>
        <w:rPr/>
        <w:t>②描述说明现代信息技术与专业教学工作进行融合用以支撑教学改革与师范生学习 方式转变情况。</w:t>
      </w:r>
    </w:p>
    <w:p>
      <w:pPr>
        <w:pStyle w:val="BodyText"/>
        <w:spacing w:line="424" w:lineRule="auto" w:before="65"/>
        <w:ind w:right="159"/>
        <w:jc w:val="both"/>
      </w:pPr>
      <w:r>
        <w:rPr/>
        <w:t>③描述说明这些资源是否满足专业教师和学生教学需求，专业与资源管理部门的信 息沟通渠道，以及专业设施使用绩效评价考核机制。</w:t>
      </w:r>
    </w:p>
    <w:p>
      <w:pPr>
        <w:pStyle w:val="BodyText"/>
        <w:spacing w:line="333" w:lineRule="exact"/>
        <w:ind w:right="0"/>
        <w:jc w:val="both"/>
        <w:rPr>
          <w:rFonts w:ascii="微软雅黑" w:hAnsi="微软雅黑" w:cs="微软雅黑" w:eastAsia="微软雅黑"/>
        </w:rPr>
      </w:pPr>
      <w:r>
        <w:rPr>
          <w:rFonts w:ascii="微软雅黑" w:hAnsi="微软雅黑" w:cs="微软雅黑" w:eastAsia="微软雅黑"/>
        </w:rPr>
        <w:t>6.3 [资源保障] </w:t>
      </w:r>
      <w:r>
        <w:rPr>
          <w:rFonts w:ascii="微软雅黑" w:hAnsi="微软雅黑" w:cs="微软雅黑" w:eastAsia="微软雅黑"/>
          <w:spacing w:val="2"/>
        </w:rPr>
        <w:t> </w:t>
      </w:r>
      <w:r>
        <w:rPr>
          <w:rFonts w:ascii="微软雅黑" w:hAnsi="微软雅黑" w:cs="微软雅黑" w:eastAsia="微软雅黑"/>
        </w:rPr>
        <w:t>专业教学资源及数字化教学资源丰富，使用率高。教育类纸质图书</w:t>
      </w:r>
    </w:p>
    <w:p>
      <w:pPr>
        <w:pStyle w:val="BodyText"/>
        <w:spacing w:line="237" w:lineRule="auto" w:before="2"/>
        <w:ind w:right="117"/>
        <w:jc w:val="both"/>
        <w:rPr>
          <w:rFonts w:ascii="微软雅黑" w:hAnsi="微软雅黑" w:cs="微软雅黑" w:eastAsia="微软雅黑"/>
        </w:rPr>
      </w:pPr>
      <w:r>
        <w:rPr>
          <w:rFonts w:ascii="微软雅黑" w:hAnsi="微软雅黑" w:cs="微软雅黑" w:eastAsia="微软雅黑"/>
        </w:rPr>
        <w:t>充分满足师范生学习需要。建有幼儿园教学资源库和优秀幼儿园教育教学案例库， </w:t>
      </w:r>
      <w:r>
        <w:rPr>
          <w:rFonts w:ascii="微软雅黑" w:hAnsi="微软雅黑" w:cs="微软雅黑" w:eastAsia="微软雅黑"/>
          <w:spacing w:val="-10"/>
        </w:rPr>
        <w:t>有国内外多种版本幼儿园教师教学资源，其中《幼儿园教育指导纲要（试行）》《3-6</w:t>
      </w:r>
      <w:r>
        <w:rPr>
          <w:rFonts w:ascii="微软雅黑" w:hAnsi="微软雅黑" w:cs="微软雅黑" w:eastAsia="微软雅黑"/>
          <w:spacing w:val="-66"/>
        </w:rPr>
        <w:t> </w:t>
      </w:r>
      <w:r>
        <w:rPr>
          <w:rFonts w:ascii="微软雅黑" w:hAnsi="微软雅黑" w:cs="微软雅黑" w:eastAsia="微软雅黑"/>
          <w:spacing w:val="-66"/>
        </w:rPr>
      </w:r>
      <w:r>
        <w:rPr>
          <w:rFonts w:ascii="微软雅黑" w:hAnsi="微软雅黑" w:cs="微软雅黑" w:eastAsia="微软雅黑"/>
        </w:rPr>
        <w:t>岁儿童学习与发展指南》和教学实习用幼儿园课程方案每 6 名实习生不少于 1</w:t>
      </w:r>
      <w:r>
        <w:rPr>
          <w:rFonts w:ascii="微软雅黑" w:hAnsi="微软雅黑" w:cs="微软雅黑" w:eastAsia="微软雅黑"/>
          <w:spacing w:val="-48"/>
        </w:rPr>
        <w:t> </w:t>
      </w:r>
      <w:r>
        <w:rPr>
          <w:rFonts w:ascii="微软雅黑" w:hAnsi="微软雅黑" w:cs="微软雅黑" w:eastAsia="微软雅黑"/>
        </w:rPr>
        <w:t>套。</w:t>
      </w:r>
    </w:p>
    <w:p>
      <w:pPr>
        <w:pStyle w:val="BodyText"/>
        <w:spacing w:line="240" w:lineRule="auto" w:before="143"/>
        <w:ind w:right="0"/>
        <w:jc w:val="both"/>
      </w:pPr>
      <w:r>
        <w:rPr/>
        <w:t>①描述说明学前教育专业相关多媒体教育设施和数字化教学资源建设和使用，以及</w:t>
      </w:r>
    </w:p>
    <w:p>
      <w:pPr>
        <w:spacing w:after="0" w:line="240" w:lineRule="auto"/>
        <w:jc w:val="both"/>
        <w:sectPr>
          <w:headerReference w:type="default" r:id="rId109"/>
          <w:pgSz w:w="12240" w:h="15840"/>
          <w:pgMar w:header="773" w:footer="697" w:top="960" w:bottom="880" w:left="1680" w:right="164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344" w:lineRule="exact"/>
        <w:ind w:right="0"/>
        <w:jc w:val="both"/>
      </w:pPr>
      <w:r>
        <w:rPr/>
        <w:t>满足师范生学习需要情况。</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②描述或列表说明公共基础设施、图书资源、网络信息服务专业教学的情况和管理 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③描述说明用于教学设施和图书资料等更新的经费标准和预决算情况，特别是幼儿 园教学资源库和优秀幼儿园教育教学案例库建设情况、使用与激励机制。</w:t>
      </w:r>
    </w:p>
    <w:p>
      <w:pPr>
        <w:pStyle w:val="Heading5"/>
        <w:spacing w:line="240" w:lineRule="auto" w:before="180"/>
        <w:ind w:right="0"/>
        <w:jc w:val="both"/>
        <w:rPr>
          <w:b w:val="0"/>
          <w:bCs w:val="0"/>
        </w:rPr>
      </w:pPr>
      <w:bookmarkStart w:name="第二部分：主要问题" w:id="240"/>
      <w:bookmarkEnd w:id="240"/>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5"/>
        <w:rPr>
          <w:rFonts w:ascii="楷体" w:hAnsi="楷体" w:cs="楷体" w:eastAsia="楷体"/>
          <w:sz w:val="17"/>
          <w:szCs w:val="17"/>
        </w:rPr>
      </w:pPr>
    </w:p>
    <w:p>
      <w:pPr>
        <w:pStyle w:val="Heading5"/>
        <w:spacing w:line="240" w:lineRule="auto"/>
        <w:ind w:right="0"/>
        <w:jc w:val="both"/>
        <w:rPr>
          <w:b w:val="0"/>
          <w:bCs w:val="0"/>
        </w:rPr>
      </w:pPr>
      <w:bookmarkStart w:name="第三部分：改进措施" w:id="241"/>
      <w:bookmarkEnd w:id="241"/>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7质量保障" w:id="242"/>
      <w:bookmarkEnd w:id="242"/>
      <w:r>
        <w:rPr>
          <w:b w:val="0"/>
          <w:bCs w:val="0"/>
        </w:rPr>
      </w:r>
      <w:r>
        <w:rPr/>
        <w:t>标准 7</w:t>
      </w:r>
      <w:r>
        <w:rPr>
          <w:spacing w:val="-32"/>
        </w:rPr>
        <w:t> </w:t>
      </w:r>
      <w:r>
        <w:rPr/>
        <w:t>质量保障</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43"/>
      <w:bookmarkEnd w:id="243"/>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237" w:lineRule="auto" w:before="130"/>
        <w:ind w:right="115"/>
        <w:jc w:val="both"/>
        <w:rPr>
          <w:rFonts w:ascii="微软雅黑" w:hAnsi="微软雅黑" w:cs="微软雅黑" w:eastAsia="微软雅黑"/>
        </w:rPr>
      </w:pPr>
      <w:r>
        <w:rPr>
          <w:rFonts w:ascii="微软雅黑" w:hAnsi="微软雅黑" w:cs="微软雅黑" w:eastAsia="微软雅黑"/>
        </w:rPr>
        <w:t>7.1 [保障体系] 建立完善的教学质量保障体系，各主要教学环节有清晰明确、科学 合理的质量要求。质量保障目标清晰，任务明确，机构健全，责任到人，能够有效 支持毕业要求达成。</w:t>
      </w:r>
    </w:p>
    <w:p>
      <w:pPr>
        <w:pStyle w:val="BodyText"/>
        <w:spacing w:line="240" w:lineRule="auto" w:before="145"/>
        <w:ind w:right="0"/>
        <w:jc w:val="both"/>
      </w:pPr>
      <w:r>
        <w:rPr/>
        <w:t>①描述说明学校和院系两级教学质量保障体系架构与运行方式。</w:t>
      </w:r>
    </w:p>
    <w:p>
      <w:pPr>
        <w:spacing w:after="0" w:line="240" w:lineRule="auto"/>
        <w:jc w:val="both"/>
        <w:sectPr>
          <w:pgSz w:w="12240" w:h="15840"/>
          <w:pgMar w:header="773" w:footer="697" w:top="960" w:bottom="880" w:left="1680" w:right="1680"/>
        </w:sectPr>
      </w:pPr>
    </w:p>
    <w:p>
      <w:pPr>
        <w:spacing w:line="240" w:lineRule="auto" w:before="0"/>
        <w:rPr>
          <w:rFonts w:ascii="华文楷体" w:hAnsi="华文楷体" w:cs="华文楷体" w:eastAsia="华文楷体"/>
          <w:sz w:val="20"/>
          <w:szCs w:val="20"/>
        </w:rPr>
      </w:pPr>
    </w:p>
    <w:p>
      <w:pPr>
        <w:spacing w:line="240" w:lineRule="auto" w:before="13"/>
        <w:rPr>
          <w:rFonts w:ascii="华文楷体" w:hAnsi="华文楷体" w:cs="华文楷体" w:eastAsia="华文楷体"/>
          <w:sz w:val="18"/>
          <w:szCs w:val="18"/>
        </w:rPr>
      </w:pPr>
    </w:p>
    <w:p>
      <w:pPr>
        <w:pStyle w:val="BodyText"/>
        <w:spacing w:line="424" w:lineRule="auto"/>
        <w:ind w:right="35"/>
        <w:jc w:val="left"/>
      </w:pPr>
      <w:r>
        <w:rPr/>
        <w:t>②描述说明学校和院系两级教学质量保障机构、目标、任务、职责分工、责任人及 对专业毕业要求所起的支持作用。</w:t>
      </w:r>
    </w:p>
    <w:p>
      <w:pPr>
        <w:pStyle w:val="BodyText"/>
        <w:spacing w:line="424" w:lineRule="auto" w:before="65"/>
        <w:ind w:right="35"/>
        <w:jc w:val="left"/>
      </w:pPr>
      <w:r>
        <w:rPr/>
        <w:pict>
          <v:shape style="position:absolute;margin-left:89.760002pt;margin-top:60.867477pt;width:411.85pt;height:95.6pt;mso-position-horizontal-relative:page;mso-position-vertical-relative:paragraph;z-index:174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42"/>
                    <w:gridCol w:w="1819"/>
                    <w:gridCol w:w="1275"/>
                    <w:gridCol w:w="2127"/>
                    <w:gridCol w:w="1559"/>
                  </w:tblGrid>
                  <w:tr>
                    <w:trPr>
                      <w:trHeight w:val="946" w:hRule="exact"/>
                    </w:trPr>
                    <w:tc>
                      <w:tcPr>
                        <w:tcW w:w="14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6"/>
                          <w:ind w:left="355" w:right="0"/>
                          <w:jc w:val="left"/>
                          <w:rPr>
                            <w:rFonts w:ascii="楷体" w:hAnsi="楷体" w:cs="楷体" w:eastAsia="楷体"/>
                            <w:sz w:val="18"/>
                            <w:szCs w:val="18"/>
                          </w:rPr>
                        </w:pPr>
                        <w:r>
                          <w:rPr>
                            <w:rFonts w:ascii="楷体" w:hAnsi="楷体" w:cs="楷体" w:eastAsia="楷体"/>
                            <w:sz w:val="18"/>
                            <w:szCs w:val="18"/>
                          </w:rPr>
                          <w:t>环节名称</w:t>
                        </w:r>
                      </w:p>
                    </w:tc>
                    <w:tc>
                      <w:tcPr>
                        <w:tcW w:w="181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right="0"/>
                          <w:jc w:val="left"/>
                          <w:rPr>
                            <w:rFonts w:ascii="华文楷体" w:hAnsi="华文楷体" w:cs="华文楷体" w:eastAsia="华文楷体"/>
                            <w:sz w:val="22"/>
                            <w:szCs w:val="22"/>
                          </w:rPr>
                        </w:pPr>
                      </w:p>
                      <w:p>
                        <w:pPr>
                          <w:pStyle w:val="TableParagraph"/>
                          <w:spacing w:line="240" w:lineRule="auto"/>
                          <w:ind w:left="273" w:right="0"/>
                          <w:jc w:val="left"/>
                          <w:rPr>
                            <w:rFonts w:ascii="楷体" w:hAnsi="楷体" w:cs="楷体" w:eastAsia="楷体"/>
                            <w:sz w:val="18"/>
                            <w:szCs w:val="18"/>
                          </w:rPr>
                        </w:pPr>
                        <w:r>
                          <w:rPr>
                            <w:rFonts w:ascii="楷体" w:hAnsi="楷体" w:cs="楷体" w:eastAsia="楷体"/>
                            <w:sz w:val="18"/>
                            <w:szCs w:val="18"/>
                          </w:rPr>
                          <w:t>质量要求的要点</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316" w:lineRule="auto" w:before="11"/>
                          <w:ind w:left="182" w:right="180"/>
                          <w:jc w:val="center"/>
                          <w:rPr>
                            <w:rFonts w:ascii="楷体" w:hAnsi="楷体" w:cs="楷体" w:eastAsia="楷体"/>
                            <w:sz w:val="18"/>
                            <w:szCs w:val="18"/>
                          </w:rPr>
                        </w:pPr>
                        <w:r>
                          <w:rPr>
                            <w:rFonts w:ascii="楷体" w:hAnsi="楷体" w:cs="楷体" w:eastAsia="楷体"/>
                            <w:sz w:val="18"/>
                            <w:szCs w:val="18"/>
                          </w:rPr>
                          <w:t>质量监控的 方法和责任 人</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华文楷体" w:hAnsi="华文楷体" w:cs="华文楷体" w:eastAsia="华文楷体"/>
                            <w:sz w:val="11"/>
                            <w:szCs w:val="11"/>
                          </w:rPr>
                        </w:pPr>
                      </w:p>
                      <w:p>
                        <w:pPr>
                          <w:pStyle w:val="TableParagraph"/>
                          <w:spacing w:line="316" w:lineRule="auto"/>
                          <w:ind w:left="518" w:right="32" w:hanging="416"/>
                          <w:jc w:val="left"/>
                          <w:rPr>
                            <w:rFonts w:ascii="楷体" w:hAnsi="楷体" w:cs="楷体" w:eastAsia="楷体"/>
                            <w:sz w:val="18"/>
                            <w:szCs w:val="18"/>
                          </w:rPr>
                        </w:pPr>
                        <w:r>
                          <w:rPr>
                            <w:rFonts w:ascii="楷体" w:hAnsi="楷体" w:cs="楷体" w:eastAsia="楷体"/>
                            <w:sz w:val="18"/>
                            <w:szCs w:val="18"/>
                          </w:rPr>
                          <w:t>质量评价的周期、依据、 结果反馈方式</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18"/>
                            <w:szCs w:val="18"/>
                          </w:rPr>
                        </w:pPr>
                      </w:p>
                      <w:p>
                        <w:pPr>
                          <w:pStyle w:val="TableParagraph"/>
                          <w:spacing w:line="240" w:lineRule="auto" w:before="136"/>
                          <w:ind w:left="143" w:right="0"/>
                          <w:jc w:val="left"/>
                          <w:rPr>
                            <w:rFonts w:ascii="楷体" w:hAnsi="楷体" w:cs="楷体" w:eastAsia="楷体"/>
                            <w:sz w:val="18"/>
                            <w:szCs w:val="18"/>
                          </w:rPr>
                        </w:pPr>
                        <w:r>
                          <w:rPr>
                            <w:rFonts w:ascii="楷体" w:hAnsi="楷体" w:cs="楷体" w:eastAsia="楷体"/>
                            <w:sz w:val="18"/>
                            <w:szCs w:val="18"/>
                          </w:rPr>
                          <w:t>形成的记录文档</w:t>
                        </w: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1442" w:type="dxa"/>
                        <w:tcBorders>
                          <w:top w:val="single" w:sz="4" w:space="0" w:color="000000"/>
                          <w:left w:val="single" w:sz="4" w:space="0" w:color="000000"/>
                          <w:bottom w:val="single" w:sz="4" w:space="0" w:color="000000"/>
                          <w:right w:val="single" w:sz="4" w:space="0" w:color="000000"/>
                        </w:tcBorders>
                      </w:tcPr>
                      <w:p>
                        <w:pPr/>
                      </w:p>
                    </w:tc>
                    <w:tc>
                      <w:tcPr>
                        <w:tcW w:w="1819"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559" w:type="dxa"/>
                        <w:tcBorders>
                          <w:top w:val="single" w:sz="4" w:space="0" w:color="000000"/>
                          <w:left w:val="single" w:sz="4" w:space="0" w:color="000000"/>
                          <w:bottom w:val="single" w:sz="4" w:space="0" w:color="000000"/>
                          <w:right w:val="single" w:sz="4" w:space="0" w:color="000000"/>
                        </w:tcBorders>
                      </w:tcPr>
                      <w:p>
                        <w:pPr/>
                      </w:p>
                    </w:tc>
                  </w:tr>
                </w:tbl>
                <w:p>
                  <w:pPr/>
                </w:p>
              </w:txbxContent>
            </v:textbox>
            <w10:wrap type="none"/>
          </v:shape>
        </w:pict>
      </w:r>
      <w:r>
        <w:rPr/>
        <w:t>③列表说明各主要教学环节的质量要求，描述对专业教学过程常态化监控的方法和 质量评价的周期，明确每个教学环节质量监控和评价的主要责任人。</w:t>
      </w: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pStyle w:val="BodyText"/>
        <w:spacing w:line="410" w:lineRule="exact" w:before="115"/>
        <w:ind w:right="235"/>
        <w:jc w:val="both"/>
        <w:rPr>
          <w:rFonts w:ascii="微软雅黑" w:hAnsi="微软雅黑" w:cs="微软雅黑" w:eastAsia="微软雅黑"/>
        </w:rPr>
      </w:pPr>
      <w:r>
        <w:rPr>
          <w:rFonts w:ascii="微软雅黑" w:hAnsi="微软雅黑" w:cs="微软雅黑" w:eastAsia="微软雅黑"/>
        </w:rPr>
        <w:t>7.2 [内部监控] 建立教学质量监控与评价机制并有效执行，运用信息技术对各主要 教学环节质量实施全程监控与常态化评价，保障毕业要求达成。</w:t>
      </w:r>
    </w:p>
    <w:p>
      <w:pPr>
        <w:pStyle w:val="BodyText"/>
        <w:spacing w:line="424" w:lineRule="auto" w:before="125"/>
        <w:ind w:right="239"/>
        <w:jc w:val="both"/>
      </w:pPr>
      <w:r>
        <w:rPr/>
        <w:t>①描述说明学校和院系两级教学质量监控与评价机制的建立情况，列出教学管理和 质量保障规章制度。</w:t>
      </w:r>
    </w:p>
    <w:p>
      <w:pPr>
        <w:pStyle w:val="BodyText"/>
        <w:spacing w:line="424" w:lineRule="auto" w:before="65"/>
        <w:ind w:right="119"/>
        <w:jc w:val="both"/>
      </w:pPr>
      <w:r>
        <w:rPr/>
        <w:t>②描述说明学校和院系两级定期开展专业教学质量评价（重点监控专业开展的课程 评价和毕业要求达成评价）情况，包括评估评价周期、评估评价对象、评估评价内 </w:t>
      </w:r>
      <w:r>
        <w:rPr>
          <w:spacing w:val="-4"/>
        </w:rPr>
        <w:t>容、评估评价渠道等，以及最近一次开展的专业教学质量评价的内容、方法和结果。</w:t>
      </w:r>
    </w:p>
    <w:p>
      <w:pPr>
        <w:pStyle w:val="BodyText"/>
        <w:spacing w:line="424" w:lineRule="auto" w:before="65"/>
        <w:ind w:right="239"/>
        <w:jc w:val="both"/>
      </w:pPr>
      <w:r>
        <w:rPr/>
        <w:t>③描述说明专业毕业要求达成的评价机制和方法，包括评价制度、评价周期、评价 </w:t>
      </w:r>
      <w:r>
        <w:rPr>
          <w:spacing w:val="-7"/>
        </w:rPr>
        <w:t>依据（主要来源于课程目标达成评价结果）、评价程序、评价方法和评价责任人。针</w:t>
      </w:r>
      <w:r>
        <w:rPr>
          <w:spacing w:val="-43"/>
        </w:rPr>
        <w:t> </w:t>
      </w:r>
      <w:r>
        <w:rPr>
          <w:spacing w:val="-43"/>
        </w:rPr>
      </w:r>
      <w:r>
        <w:rPr/>
        <w:t>对专业毕业要求每一项不同特点，评价方法可以灵活多样，但要求对每项毕业要求 进行逐条评价，并列出最近一次毕业要求达成度评价的依据表。</w:t>
      </w:r>
    </w:p>
    <w:p>
      <w:pPr>
        <w:spacing w:line="240" w:lineRule="auto" w:before="11"/>
        <w:rPr>
          <w:rFonts w:ascii="华文楷体" w:hAnsi="华文楷体" w:cs="华文楷体" w:eastAsia="华文楷体"/>
          <w:sz w:val="25"/>
          <w:szCs w:val="25"/>
        </w:rPr>
      </w:pPr>
    </w:p>
    <w:p>
      <w:pPr>
        <w:pStyle w:val="BodyText"/>
        <w:spacing w:line="240" w:lineRule="auto"/>
        <w:ind w:left="2400" w:right="35"/>
        <w:jc w:val="left"/>
      </w:pPr>
      <w:r>
        <w:rPr/>
        <w:t>最近一次毕业要求达成度评价的依据表</w:t>
      </w:r>
    </w:p>
    <w:p>
      <w:pPr>
        <w:spacing w:line="240" w:lineRule="auto" w:before="14"/>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804"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
              <w:ind w:right="0"/>
              <w:jc w:val="left"/>
              <w:rPr>
                <w:rFonts w:ascii="华文楷体" w:hAnsi="华文楷体" w:cs="华文楷体" w:eastAsia="华文楷体"/>
                <w:sz w:val="16"/>
                <w:szCs w:val="16"/>
              </w:rPr>
            </w:pPr>
          </w:p>
          <w:p>
            <w:pPr>
              <w:pStyle w:val="TableParagraph"/>
              <w:spacing w:line="240" w:lineRule="auto"/>
              <w:ind w:left="141" w:right="0"/>
              <w:jc w:val="left"/>
              <w:rPr>
                <w:rFonts w:ascii="楷体" w:hAnsi="楷体" w:cs="楷体" w:eastAsia="楷体"/>
                <w:sz w:val="21"/>
                <w:szCs w:val="21"/>
              </w:rPr>
            </w:pPr>
            <w:r>
              <w:rPr>
                <w:rFonts w:ascii="楷体" w:hAnsi="楷体" w:cs="楷体" w:eastAsia="楷体"/>
                <w:sz w:val="21"/>
                <w:szCs w:val="21"/>
              </w:rPr>
              <w:t>专业毕业</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1"/>
              <w:ind w:right="0"/>
              <w:jc w:val="left"/>
              <w:rPr>
                <w:rFonts w:ascii="华文楷体" w:hAnsi="华文楷体" w:cs="华文楷体" w:eastAsia="华文楷体"/>
                <w:sz w:val="20"/>
                <w:szCs w:val="20"/>
              </w:rPr>
            </w:pPr>
          </w:p>
          <w:p>
            <w:pPr>
              <w:pStyle w:val="TableParagraph"/>
              <w:spacing w:line="240" w:lineRule="auto"/>
              <w:ind w:left="401" w:right="0"/>
              <w:jc w:val="left"/>
              <w:rPr>
                <w:rFonts w:ascii="楷体" w:hAnsi="楷体" w:cs="楷体" w:eastAsia="楷体"/>
                <w:sz w:val="21"/>
                <w:szCs w:val="21"/>
              </w:rPr>
            </w:pPr>
            <w:r>
              <w:rPr>
                <w:rFonts w:ascii="楷体" w:hAnsi="楷体" w:cs="楷体" w:eastAsia="楷体"/>
                <w:sz w:val="21"/>
                <w:szCs w:val="21"/>
              </w:rPr>
              <w:t>评价</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1"/>
              <w:ind w:right="0"/>
              <w:jc w:val="left"/>
              <w:rPr>
                <w:rFonts w:ascii="华文楷体" w:hAnsi="华文楷体" w:cs="华文楷体" w:eastAsia="华文楷体"/>
                <w:sz w:val="20"/>
                <w:szCs w:val="20"/>
              </w:rPr>
            </w:pPr>
          </w:p>
          <w:p>
            <w:pPr>
              <w:pStyle w:val="TableParagraph"/>
              <w:spacing w:line="240" w:lineRule="auto"/>
              <w:ind w:left="323" w:right="0"/>
              <w:jc w:val="left"/>
              <w:rPr>
                <w:rFonts w:ascii="楷体" w:hAnsi="楷体" w:cs="楷体" w:eastAsia="楷体"/>
                <w:sz w:val="21"/>
                <w:szCs w:val="21"/>
              </w:rPr>
            </w:pPr>
            <w:r>
              <w:rPr>
                <w:rFonts w:ascii="楷体" w:hAnsi="楷体" w:cs="楷体" w:eastAsia="楷体"/>
                <w:sz w:val="21"/>
                <w:szCs w:val="21"/>
              </w:rPr>
              <w:t>课程考</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67"/>
              <w:ind w:left="865" w:right="184" w:hanging="682"/>
              <w:jc w:val="left"/>
              <w:rPr>
                <w:rFonts w:ascii="楷体" w:hAnsi="楷体" w:cs="楷体" w:eastAsia="楷体"/>
                <w:sz w:val="21"/>
                <w:szCs w:val="21"/>
              </w:rPr>
            </w:pPr>
            <w:r>
              <w:rPr>
                <w:rFonts w:ascii="楷体" w:hAnsi="楷体" w:cs="楷体" w:eastAsia="楷体"/>
                <w:sz w:val="21"/>
                <w:szCs w:val="21"/>
              </w:rPr>
              <w:t>达成评价周期</w:t>
            </w:r>
            <w:r>
              <w:rPr>
                <w:rFonts w:ascii="宋体" w:hAnsi="宋体" w:cs="宋体" w:eastAsia="宋体"/>
                <w:sz w:val="21"/>
                <w:szCs w:val="21"/>
              </w:rPr>
              <w:t>/</w:t>
            </w:r>
            <w:r>
              <w:rPr>
                <w:rFonts w:ascii="楷体" w:hAnsi="楷体" w:cs="楷体" w:eastAsia="楷体"/>
                <w:sz w:val="21"/>
                <w:szCs w:val="21"/>
              </w:rPr>
              <w:t>评价机构</w:t>
            </w:r>
            <w:r>
              <w:rPr>
                <w:rFonts w:ascii="楷体" w:hAnsi="楷体" w:cs="楷体" w:eastAsia="楷体"/>
                <w:w w:val="99"/>
                <w:sz w:val="21"/>
                <w:szCs w:val="21"/>
              </w:rPr>
              <w:t> </w:t>
            </w:r>
            <w:r>
              <w:rPr>
                <w:rFonts w:ascii="楷体" w:hAnsi="楷体" w:cs="楷体" w:eastAsia="楷体"/>
                <w:sz w:val="21"/>
                <w:szCs w:val="21"/>
              </w:rPr>
              <w:t>和责任人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华文楷体" w:hAnsi="华文楷体" w:cs="华文楷体" w:eastAsia="华文楷体"/>
                <w:sz w:val="22"/>
                <w:szCs w:val="22"/>
              </w:rPr>
            </w:pPr>
          </w:p>
          <w:p>
            <w:pPr>
              <w:pStyle w:val="TableParagraph"/>
              <w:spacing w:line="240" w:lineRule="auto"/>
              <w:ind w:left="252" w:right="0"/>
              <w:jc w:val="left"/>
              <w:rPr>
                <w:rFonts w:ascii="楷体" w:hAnsi="楷体" w:cs="楷体" w:eastAsia="楷体"/>
                <w:sz w:val="21"/>
                <w:szCs w:val="21"/>
              </w:rPr>
            </w:pPr>
            <w:r>
              <w:rPr>
                <w:rFonts w:ascii="楷体" w:hAnsi="楷体" w:cs="楷体" w:eastAsia="楷体"/>
                <w:sz w:val="21"/>
                <w:szCs w:val="21"/>
              </w:rPr>
              <w:t>形成的记录文档</w:t>
            </w:r>
          </w:p>
        </w:tc>
      </w:tr>
    </w:tbl>
    <w:p>
      <w:pPr>
        <w:spacing w:after="0" w:line="240" w:lineRule="auto"/>
        <w:jc w:val="left"/>
        <w:rPr>
          <w:rFonts w:ascii="楷体" w:hAnsi="楷体" w:cs="楷体" w:eastAsia="楷体"/>
          <w:sz w:val="21"/>
          <w:szCs w:val="21"/>
        </w:rPr>
        <w:sectPr>
          <w:pgSz w:w="12240" w:h="15840"/>
          <w:pgMar w:header="773" w:footer="697" w:top="960" w:bottom="880" w:left="1680" w:right="1560"/>
        </w:sectPr>
      </w:pPr>
    </w:p>
    <w:p>
      <w:pPr>
        <w:spacing w:line="240" w:lineRule="auto" w:before="0"/>
        <w:rPr>
          <w:rFonts w:ascii="华文楷体" w:hAnsi="华文楷体" w:cs="华文楷体" w:eastAsia="华文楷体"/>
          <w:sz w:val="20"/>
          <w:szCs w:val="20"/>
        </w:rPr>
      </w:pPr>
    </w:p>
    <w:p>
      <w:pPr>
        <w:spacing w:line="240" w:lineRule="auto" w:before="12"/>
        <w:rPr>
          <w:rFonts w:ascii="华文楷体" w:hAnsi="华文楷体" w:cs="华文楷体" w:eastAsia="华文楷体"/>
          <w:sz w:val="11"/>
          <w:szCs w:val="11"/>
        </w:rPr>
      </w:pPr>
    </w:p>
    <w:tbl>
      <w:tblPr>
        <w:tblW w:w="0" w:type="auto"/>
        <w:jc w:val="left"/>
        <w:tblInd w:w="115" w:type="dxa"/>
        <w:tblLayout w:type="fixed"/>
        <w:tblCellMar>
          <w:top w:w="0" w:type="dxa"/>
          <w:left w:w="0" w:type="dxa"/>
          <w:bottom w:w="0" w:type="dxa"/>
          <w:right w:w="0" w:type="dxa"/>
        </w:tblCellMar>
        <w:tblLook w:val="01E0"/>
      </w:tblPr>
      <w:tblGrid>
        <w:gridCol w:w="1134"/>
        <w:gridCol w:w="1233"/>
        <w:gridCol w:w="1287"/>
        <w:gridCol w:w="2583"/>
        <w:gridCol w:w="1985"/>
      </w:tblGrid>
      <w:tr>
        <w:trPr>
          <w:trHeight w:val="586" w:hRule="exact"/>
        </w:trPr>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3"/>
              <w:ind w:right="0"/>
              <w:jc w:val="left"/>
              <w:rPr>
                <w:rFonts w:ascii="华文楷体" w:hAnsi="华文楷体" w:cs="华文楷体" w:eastAsia="华文楷体"/>
                <w:sz w:val="16"/>
                <w:szCs w:val="16"/>
              </w:rPr>
            </w:pPr>
          </w:p>
          <w:p>
            <w:pPr>
              <w:pStyle w:val="TableParagraph"/>
              <w:spacing w:line="240" w:lineRule="auto"/>
              <w:ind w:left="352" w:right="0"/>
              <w:jc w:val="left"/>
              <w:rPr>
                <w:rFonts w:ascii="楷体" w:hAnsi="楷体" w:cs="楷体" w:eastAsia="楷体"/>
                <w:sz w:val="21"/>
                <w:szCs w:val="21"/>
              </w:rPr>
            </w:pPr>
            <w:r>
              <w:rPr>
                <w:rFonts w:ascii="楷体" w:hAnsi="楷体" w:cs="楷体" w:eastAsia="楷体"/>
                <w:sz w:val="21"/>
                <w:szCs w:val="21"/>
              </w:rPr>
              <w:t>要求</w:t>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296" w:right="0"/>
              <w:jc w:val="left"/>
              <w:rPr>
                <w:rFonts w:ascii="楷体" w:hAnsi="楷体" w:cs="楷体" w:eastAsia="楷体"/>
                <w:sz w:val="21"/>
                <w:szCs w:val="21"/>
              </w:rPr>
            </w:pPr>
            <w:r>
              <w:rPr>
                <w:rFonts w:ascii="楷体" w:hAnsi="楷体" w:cs="楷体" w:eastAsia="楷体"/>
                <w:sz w:val="21"/>
                <w:szCs w:val="21"/>
              </w:rPr>
              <w:t>的课程</w:t>
            </w:r>
          </w:p>
        </w:tc>
        <w:tc>
          <w:tcPr>
            <w:tcW w:w="128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323" w:right="0"/>
              <w:jc w:val="left"/>
              <w:rPr>
                <w:rFonts w:ascii="楷体" w:hAnsi="楷体" w:cs="楷体" w:eastAsia="楷体"/>
                <w:sz w:val="21"/>
                <w:szCs w:val="21"/>
              </w:rPr>
            </w:pPr>
            <w:r>
              <w:rPr>
                <w:rFonts w:ascii="楷体" w:hAnsi="楷体" w:cs="楷体" w:eastAsia="楷体"/>
                <w:sz w:val="21"/>
                <w:szCs w:val="21"/>
              </w:rPr>
              <w:t>核方式</w:t>
            </w: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393"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134" w:type="dxa"/>
            <w:tcBorders>
              <w:top w:val="single" w:sz="4" w:space="0" w:color="000000"/>
              <w:left w:val="single" w:sz="4" w:space="0" w:color="000000"/>
              <w:bottom w:val="single" w:sz="4" w:space="0" w:color="000000"/>
              <w:right w:val="single" w:sz="4" w:space="0" w:color="000000"/>
            </w:tcBorders>
          </w:tcPr>
          <w:p>
            <w:pPr/>
          </w:p>
        </w:tc>
        <w:tc>
          <w:tcPr>
            <w:tcW w:w="1233" w:type="dxa"/>
            <w:tcBorders>
              <w:top w:val="single" w:sz="4" w:space="0" w:color="000000"/>
              <w:left w:val="single" w:sz="4" w:space="0" w:color="000000"/>
              <w:bottom w:val="single" w:sz="4" w:space="0" w:color="000000"/>
              <w:right w:val="single" w:sz="4" w:space="0" w:color="000000"/>
            </w:tcBorders>
          </w:tcPr>
          <w:p>
            <w:pPr/>
          </w:p>
        </w:tc>
        <w:tc>
          <w:tcPr>
            <w:tcW w:w="1287" w:type="dxa"/>
            <w:tcBorders>
              <w:top w:val="single" w:sz="4" w:space="0" w:color="000000"/>
              <w:left w:val="single" w:sz="4" w:space="0" w:color="000000"/>
              <w:bottom w:val="single" w:sz="4" w:space="0" w:color="000000"/>
              <w:right w:val="single" w:sz="4" w:space="0" w:color="000000"/>
            </w:tcBorders>
          </w:tcPr>
          <w:p>
            <w:pPr/>
          </w:p>
        </w:tc>
        <w:tc>
          <w:tcPr>
            <w:tcW w:w="2583" w:type="dxa"/>
            <w:tcBorders>
              <w:top w:val="single" w:sz="4" w:space="0" w:color="000000"/>
              <w:left w:val="single" w:sz="4" w:space="0" w:color="000000"/>
              <w:bottom w:val="single" w:sz="4" w:space="0" w:color="000000"/>
              <w:right w:val="single" w:sz="4" w:space="0" w:color="000000"/>
            </w:tcBorders>
          </w:tcPr>
          <w:p>
            <w:pPr/>
          </w:p>
        </w:tc>
        <w:tc>
          <w:tcPr>
            <w:tcW w:w="1985"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2"/>
        <w:rPr>
          <w:rFonts w:ascii="华文楷体" w:hAnsi="华文楷体" w:cs="华文楷体" w:eastAsia="华文楷体"/>
          <w:sz w:val="7"/>
          <w:szCs w:val="7"/>
        </w:rPr>
      </w:pPr>
    </w:p>
    <w:p>
      <w:pPr>
        <w:spacing w:line="344" w:lineRule="exact" w:before="0"/>
        <w:ind w:left="240" w:right="3731" w:firstLine="0"/>
        <w:jc w:val="left"/>
        <w:rPr>
          <w:rFonts w:ascii="华文楷体" w:hAnsi="华文楷体" w:cs="华文楷体" w:eastAsia="华文楷体"/>
          <w:sz w:val="24"/>
          <w:szCs w:val="24"/>
        </w:rPr>
      </w:pPr>
      <w:r>
        <w:rPr>
          <w:rFonts w:ascii="华文楷体" w:hAnsi="华文楷体" w:cs="华文楷体" w:eastAsia="华文楷体"/>
          <w:sz w:val="24"/>
          <w:szCs w:val="24"/>
        </w:rPr>
        <w:t>（</w:t>
      </w:r>
      <w:r>
        <w:rPr>
          <w:rFonts w:ascii="华文楷体" w:hAnsi="华文楷体" w:cs="华文楷体" w:eastAsia="华文楷体"/>
          <w:sz w:val="21"/>
          <w:szCs w:val="21"/>
        </w:rPr>
        <w:t>注：表中的课程包括理论类和实践类教学环节</w:t>
      </w:r>
      <w:r>
        <w:rPr>
          <w:rFonts w:ascii="华文楷体" w:hAnsi="华文楷体" w:cs="华文楷体" w:eastAsia="华文楷体"/>
          <w:sz w:val="24"/>
          <w:szCs w:val="24"/>
        </w:rPr>
        <w:t>）</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④描述说明学校和院系两级运用信息技术全过程监控与评价专业教学过程用以保障 专业毕业要求达成的情况。</w:t>
      </w:r>
    </w:p>
    <w:p>
      <w:pPr>
        <w:pStyle w:val="BodyText"/>
        <w:spacing w:line="331" w:lineRule="exact"/>
        <w:ind w:right="0"/>
        <w:jc w:val="left"/>
        <w:rPr>
          <w:rFonts w:ascii="微软雅黑" w:hAnsi="微软雅黑" w:cs="微软雅黑" w:eastAsia="微软雅黑"/>
        </w:rPr>
      </w:pPr>
      <w:r>
        <w:rPr>
          <w:rFonts w:ascii="微软雅黑" w:hAnsi="微软雅黑" w:cs="微软雅黑" w:eastAsia="微软雅黑"/>
        </w:rPr>
        <w:t>7.3 [外部评价] </w:t>
      </w:r>
      <w:r>
        <w:rPr>
          <w:rFonts w:ascii="微软雅黑" w:hAnsi="微软雅黑" w:cs="微软雅黑" w:eastAsia="微软雅黑"/>
          <w:spacing w:val="2"/>
        </w:rPr>
        <w:t> </w:t>
      </w:r>
      <w:r>
        <w:rPr>
          <w:rFonts w:ascii="微软雅黑" w:hAnsi="微软雅黑" w:cs="微软雅黑" w:eastAsia="微软雅黑"/>
        </w:rPr>
        <w:t>建立毕业生持续跟踪反馈机制以及学前教育机构、教育行政部门等</w:t>
      </w:r>
    </w:p>
    <w:p>
      <w:pPr>
        <w:pStyle w:val="BodyText"/>
        <w:spacing w:line="412" w:lineRule="exact"/>
        <w:ind w:right="0"/>
        <w:jc w:val="left"/>
        <w:rPr>
          <w:rFonts w:ascii="微软雅黑" w:hAnsi="微软雅黑" w:cs="微软雅黑" w:eastAsia="微软雅黑"/>
        </w:rPr>
      </w:pPr>
      <w:r>
        <w:rPr>
          <w:rFonts w:ascii="微软雅黑" w:hAnsi="微软雅黑" w:cs="微软雅黑" w:eastAsia="微软雅黑"/>
        </w:rPr>
        <w:t>利益相关方参与的多元社会评价机制，对培养目标的达成度进行定期评价。</w:t>
      </w:r>
    </w:p>
    <w:p>
      <w:pPr>
        <w:pStyle w:val="BodyText"/>
        <w:spacing w:line="240" w:lineRule="auto" w:before="142"/>
        <w:ind w:right="0"/>
        <w:jc w:val="left"/>
      </w:pPr>
      <w:r>
        <w:rPr/>
        <w:t>①描述说明毕业生持续跟踪反馈机制的建立情况。</w:t>
      </w:r>
    </w:p>
    <w:p>
      <w:pPr>
        <w:spacing w:line="240" w:lineRule="auto" w:before="8"/>
        <w:rPr>
          <w:rFonts w:ascii="华文楷体" w:hAnsi="华文楷体" w:cs="华文楷体" w:eastAsia="华文楷体"/>
          <w:sz w:val="18"/>
          <w:szCs w:val="18"/>
        </w:rPr>
      </w:pPr>
    </w:p>
    <w:p>
      <w:pPr>
        <w:pStyle w:val="BodyText"/>
        <w:spacing w:line="424" w:lineRule="auto"/>
        <w:ind w:right="0"/>
        <w:jc w:val="left"/>
      </w:pPr>
      <w:r>
        <w:rPr/>
        <w:t>②描述说明学前教育机构、教育行政部门等利益相关方参与的多元社会评价机制的 建立情况。</w:t>
      </w:r>
    </w:p>
    <w:p>
      <w:pPr>
        <w:pStyle w:val="BodyText"/>
        <w:spacing w:line="424" w:lineRule="auto" w:before="65"/>
        <w:ind w:right="0"/>
        <w:jc w:val="left"/>
      </w:pPr>
      <w:r>
        <w:rPr/>
        <w:t>③描述说明培养目标达成评价的方法、周期以及最近一次毕业生、学前教育机构、 教育行政部门等利益相关方对培养目标达成进行评价的内容、方法和结果。</w:t>
      </w:r>
    </w:p>
    <w:p>
      <w:pPr>
        <w:pStyle w:val="BodyText"/>
        <w:spacing w:line="333" w:lineRule="exact"/>
        <w:ind w:right="0"/>
        <w:jc w:val="left"/>
        <w:rPr>
          <w:rFonts w:ascii="微软雅黑" w:hAnsi="微软雅黑" w:cs="微软雅黑" w:eastAsia="微软雅黑"/>
        </w:rPr>
      </w:pPr>
      <w:r>
        <w:rPr>
          <w:rFonts w:ascii="微软雅黑" w:hAnsi="微软雅黑" w:cs="微软雅黑" w:eastAsia="微软雅黑"/>
        </w:rPr>
        <w:t>7.4 [持续改进] </w:t>
      </w:r>
      <w:r>
        <w:rPr>
          <w:rFonts w:ascii="微软雅黑" w:hAnsi="微软雅黑" w:cs="微软雅黑" w:eastAsia="微软雅黑"/>
          <w:spacing w:val="2"/>
        </w:rPr>
        <w:t> </w:t>
      </w:r>
      <w:r>
        <w:rPr>
          <w:rFonts w:ascii="微软雅黑" w:hAnsi="微软雅黑" w:cs="微软雅黑" w:eastAsia="微软雅黑"/>
        </w:rPr>
        <w:t>定期对校内外的评价结果进行综合分析，能够有效使用分析结果，</w:t>
      </w:r>
    </w:p>
    <w:p>
      <w:pPr>
        <w:pStyle w:val="BodyText"/>
        <w:spacing w:line="414" w:lineRule="exact"/>
        <w:ind w:right="0"/>
        <w:jc w:val="left"/>
        <w:rPr>
          <w:rFonts w:ascii="微软雅黑" w:hAnsi="微软雅黑" w:cs="微软雅黑" w:eastAsia="微软雅黑"/>
        </w:rPr>
      </w:pPr>
      <w:r>
        <w:rPr>
          <w:rFonts w:ascii="微软雅黑" w:hAnsi="微软雅黑" w:cs="微软雅黑" w:eastAsia="微软雅黑"/>
        </w:rPr>
        <w:t>推动师范生培养质量的持续改进和提高，形成追求卓越的质量文化。</w:t>
      </w:r>
    </w:p>
    <w:p>
      <w:pPr>
        <w:pStyle w:val="BodyText"/>
        <w:spacing w:line="424" w:lineRule="auto" w:before="142"/>
        <w:ind w:right="0"/>
        <w:jc w:val="left"/>
      </w:pPr>
      <w:r>
        <w:rPr>
          <w:spacing w:val="-2"/>
        </w:rPr>
        <w:t>①.描述说明专业近三年综合分析内部质量监控和外部评价结果，用于推动师范生培</w:t>
      </w:r>
      <w:r>
        <w:rPr>
          <w:spacing w:val="-39"/>
        </w:rPr>
        <w:t> </w:t>
      </w:r>
      <w:r>
        <w:rPr>
          <w:spacing w:val="-39"/>
        </w:rPr>
      </w:r>
      <w:r>
        <w:rPr/>
        <w:t>养质量持续改进和提高的情况，并举例说明。</w:t>
      </w:r>
    </w:p>
    <w:p>
      <w:pPr>
        <w:pStyle w:val="BodyText"/>
        <w:spacing w:line="240" w:lineRule="auto" w:before="65"/>
        <w:ind w:right="0"/>
        <w:jc w:val="left"/>
      </w:pPr>
      <w:r>
        <w:rPr/>
        <w:t>②描述说明专业推进持续改进、追求卓越的质量文化建设的情况，并举例说明。</w:t>
      </w:r>
    </w:p>
    <w:p>
      <w:pPr>
        <w:spacing w:line="240" w:lineRule="auto" w:before="9"/>
        <w:rPr>
          <w:rFonts w:ascii="华文楷体" w:hAnsi="华文楷体" w:cs="华文楷体" w:eastAsia="华文楷体"/>
          <w:sz w:val="26"/>
          <w:szCs w:val="26"/>
        </w:rPr>
      </w:pPr>
    </w:p>
    <w:p>
      <w:pPr>
        <w:pStyle w:val="Heading5"/>
        <w:spacing w:line="240" w:lineRule="auto"/>
        <w:ind w:right="5699"/>
        <w:jc w:val="left"/>
        <w:rPr>
          <w:b w:val="0"/>
          <w:bCs w:val="0"/>
        </w:rPr>
      </w:pPr>
      <w:bookmarkStart w:name="第二部分：主要问题" w:id="244"/>
      <w:bookmarkEnd w:id="244"/>
      <w:r>
        <w:rPr>
          <w:b w:val="0"/>
          <w:bCs w:val="0"/>
        </w:rPr>
      </w:r>
      <w:r>
        <w:rPr/>
        <w:t>第二部分：主要问题</w:t>
      </w:r>
      <w:r>
        <w:rPr>
          <w:b w:val="0"/>
          <w:bCs w:val="0"/>
        </w:rPr>
      </w:r>
    </w:p>
    <w:p>
      <w:pPr>
        <w:spacing w:line="240" w:lineRule="auto" w:before="1"/>
        <w:rPr>
          <w:rFonts w:ascii="微软雅黑" w:hAnsi="微软雅黑" w:cs="微软雅黑" w:eastAsia="微软雅黑"/>
          <w:b/>
          <w:bCs/>
          <w:sz w:val="17"/>
          <w:szCs w:val="17"/>
        </w:rPr>
      </w:pPr>
    </w:p>
    <w:p>
      <w:pPr>
        <w:spacing w:line="273" w:lineRule="auto" w:before="0"/>
        <w:ind w:left="12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pStyle w:val="Heading5"/>
        <w:spacing w:line="240" w:lineRule="auto" w:before="179"/>
        <w:ind w:right="5699"/>
        <w:jc w:val="left"/>
        <w:rPr>
          <w:b w:val="0"/>
          <w:bCs w:val="0"/>
        </w:rPr>
      </w:pPr>
      <w:bookmarkStart w:name="第三部分：改进措施" w:id="245"/>
      <w:bookmarkEnd w:id="245"/>
      <w:r>
        <w:rPr>
          <w:b w:val="0"/>
          <w:bCs w:val="0"/>
        </w:rPr>
      </w:r>
      <w:r>
        <w:rPr/>
        <w:t>第三部分：改进措施</w:t>
      </w:r>
      <w:r>
        <w:rPr>
          <w:b w:val="0"/>
          <w:bCs w:val="0"/>
        </w:rPr>
      </w:r>
    </w:p>
    <w:p>
      <w:pPr>
        <w:spacing w:after="0" w:line="240" w:lineRule="auto"/>
        <w:jc w:val="left"/>
        <w:sectPr>
          <w:pgSz w:w="12240" w:h="15840"/>
          <w:pgMar w:header="773" w:footer="697" w:top="960" w:bottom="880" w:left="1680" w:right="1680"/>
        </w:sectPr>
      </w:pPr>
    </w:p>
    <w:p>
      <w:pPr>
        <w:spacing w:line="240" w:lineRule="auto" w:before="4"/>
        <w:rPr>
          <w:rFonts w:ascii="微软雅黑" w:hAnsi="微软雅黑" w:cs="微软雅黑" w:eastAsia="微软雅黑"/>
          <w:b/>
          <w:bCs/>
          <w:sz w:val="24"/>
          <w:szCs w:val="24"/>
        </w:rPr>
      </w:pPr>
    </w:p>
    <w:p>
      <w:pPr>
        <w:spacing w:line="273" w:lineRule="auto" w:before="34"/>
        <w:ind w:left="120" w:right="149" w:firstLine="0"/>
        <w:jc w:val="both"/>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line="240" w:lineRule="auto" w:before="0"/>
        <w:rPr>
          <w:rFonts w:ascii="楷体" w:hAnsi="楷体" w:cs="楷体" w:eastAsia="楷体"/>
          <w:sz w:val="20"/>
          <w:szCs w:val="20"/>
        </w:rPr>
      </w:pPr>
    </w:p>
    <w:p>
      <w:pPr>
        <w:spacing w:line="240" w:lineRule="auto" w:before="0"/>
        <w:rPr>
          <w:rFonts w:ascii="楷体" w:hAnsi="楷体" w:cs="楷体" w:eastAsia="楷体"/>
          <w:sz w:val="20"/>
          <w:szCs w:val="20"/>
        </w:rPr>
      </w:pPr>
    </w:p>
    <w:p>
      <w:pPr>
        <w:spacing w:line="240" w:lineRule="auto" w:before="6"/>
        <w:rPr>
          <w:rFonts w:ascii="楷体" w:hAnsi="楷体" w:cs="楷体" w:eastAsia="楷体"/>
          <w:sz w:val="24"/>
          <w:szCs w:val="24"/>
        </w:rPr>
      </w:pPr>
    </w:p>
    <w:p>
      <w:pPr>
        <w:pStyle w:val="Heading4"/>
        <w:spacing w:line="240" w:lineRule="auto"/>
        <w:ind w:right="0"/>
        <w:jc w:val="both"/>
        <w:rPr>
          <w:b w:val="0"/>
          <w:bCs w:val="0"/>
        </w:rPr>
      </w:pPr>
      <w:bookmarkStart w:name="标准8学生发展" w:id="246"/>
      <w:bookmarkEnd w:id="246"/>
      <w:r>
        <w:rPr>
          <w:b w:val="0"/>
          <w:bCs w:val="0"/>
        </w:rPr>
      </w:r>
      <w:r>
        <w:rPr/>
        <w:t>标准 8</w:t>
      </w:r>
      <w:r>
        <w:rPr>
          <w:spacing w:val="-32"/>
        </w:rPr>
        <w:t> </w:t>
      </w:r>
      <w:r>
        <w:rPr/>
        <w:t>学生发展</w:t>
      </w:r>
      <w:r>
        <w:rPr>
          <w:b w:val="0"/>
          <w:bCs w:val="0"/>
        </w:rPr>
      </w:r>
    </w:p>
    <w:p>
      <w:pPr>
        <w:spacing w:line="240" w:lineRule="auto" w:before="10"/>
        <w:rPr>
          <w:rFonts w:ascii="微软雅黑" w:hAnsi="微软雅黑" w:cs="微软雅黑" w:eastAsia="微软雅黑"/>
          <w:b/>
          <w:bCs/>
          <w:sz w:val="29"/>
          <w:szCs w:val="29"/>
        </w:rPr>
      </w:pPr>
    </w:p>
    <w:p>
      <w:pPr>
        <w:pStyle w:val="Heading5"/>
        <w:spacing w:line="240" w:lineRule="auto"/>
        <w:ind w:right="0"/>
        <w:jc w:val="both"/>
        <w:rPr>
          <w:b w:val="0"/>
          <w:bCs w:val="0"/>
        </w:rPr>
      </w:pPr>
      <w:bookmarkStart w:name="第一部分：达标情况" w:id="247"/>
      <w:bookmarkEnd w:id="247"/>
      <w:r>
        <w:rPr>
          <w:b w:val="0"/>
          <w:bCs w:val="0"/>
        </w:rPr>
      </w:r>
      <w:r>
        <w:rPr/>
        <w:t>第一部分：达标情况</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0" w:right="149" w:firstLine="0"/>
        <w:jc w:val="both"/>
        <w:rPr>
          <w:rFonts w:ascii="楷体" w:hAnsi="楷体" w:cs="楷体" w:eastAsia="楷体"/>
          <w:sz w:val="21"/>
          <w:szCs w:val="21"/>
        </w:rPr>
      </w:pPr>
      <w:r>
        <w:rPr>
          <w:rFonts w:ascii="楷体" w:hAnsi="楷体" w:cs="楷体" w:eastAsia="楷体"/>
          <w:w w:val="95"/>
          <w:sz w:val="21"/>
          <w:szCs w:val="21"/>
        </w:rPr>
        <w:t>（请用数据和事实逐条自证标准条文的达成情况。数据描述以《专业教学基本状态数据分析报</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w w:val="95"/>
          <w:sz w:val="21"/>
          <w:szCs w:val="21"/>
        </w:rPr>
        <w:t>告》为依据进行分析和达成说明，事实描述以具体明确的文件、制度、行为、效果等进行评价</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分析和达成说明）</w:t>
      </w:r>
    </w:p>
    <w:p>
      <w:pPr>
        <w:pStyle w:val="BodyText"/>
        <w:spacing w:line="410" w:lineRule="exact" w:before="150"/>
        <w:ind w:right="115"/>
        <w:jc w:val="both"/>
        <w:rPr>
          <w:rFonts w:ascii="微软雅黑" w:hAnsi="微软雅黑" w:cs="微软雅黑" w:eastAsia="微软雅黑"/>
        </w:rPr>
      </w:pPr>
      <w:r>
        <w:rPr>
          <w:rFonts w:ascii="微软雅黑" w:hAnsi="微软雅黑" w:cs="微软雅黑" w:eastAsia="微软雅黑"/>
        </w:rPr>
        <w:t>8.1 [生源质量] 建立符合学前教育专业特点的制度措施，能够吸引乐教、适教的优 秀生源。</w:t>
      </w:r>
    </w:p>
    <w:p>
      <w:pPr>
        <w:pStyle w:val="BodyText"/>
        <w:spacing w:line="240" w:lineRule="auto" w:before="125"/>
        <w:ind w:right="0"/>
        <w:jc w:val="both"/>
      </w:pPr>
      <w:r>
        <w:rPr/>
        <w:t>①列表说明专业近三年生源情况。</w:t>
      </w:r>
    </w:p>
    <w:p>
      <w:pPr>
        <w:spacing w:line="240" w:lineRule="auto" w:before="1"/>
        <w:rPr>
          <w:rFonts w:ascii="华文楷体" w:hAnsi="华文楷体" w:cs="华文楷体" w:eastAsia="华文楷体"/>
          <w:sz w:val="12"/>
          <w:szCs w:val="12"/>
        </w:rPr>
      </w:pPr>
    </w:p>
    <w:tbl>
      <w:tblPr>
        <w:tblW w:w="0" w:type="auto"/>
        <w:jc w:val="left"/>
        <w:tblInd w:w="115" w:type="dxa"/>
        <w:tblLayout w:type="fixed"/>
        <w:tblCellMar>
          <w:top w:w="0" w:type="dxa"/>
          <w:left w:w="0" w:type="dxa"/>
          <w:bottom w:w="0" w:type="dxa"/>
          <w:right w:w="0" w:type="dxa"/>
        </w:tblCellMar>
        <w:tblLook w:val="01E0"/>
      </w:tblPr>
      <w:tblGrid>
        <w:gridCol w:w="1485"/>
        <w:gridCol w:w="1485"/>
        <w:gridCol w:w="1485"/>
        <w:gridCol w:w="2208"/>
        <w:gridCol w:w="1701"/>
      </w:tblGrid>
      <w:tr>
        <w:trPr>
          <w:trHeight w:val="634" w:hRule="exact"/>
        </w:trPr>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right="1"/>
              <w:jc w:val="center"/>
              <w:rPr>
                <w:rFonts w:ascii="楷体" w:hAnsi="楷体" w:cs="楷体" w:eastAsia="楷体"/>
                <w:sz w:val="21"/>
                <w:szCs w:val="21"/>
              </w:rPr>
            </w:pPr>
            <w:r>
              <w:rPr>
                <w:rFonts w:ascii="楷体" w:hAnsi="楷体" w:cs="楷体" w:eastAsia="楷体"/>
                <w:sz w:val="21"/>
                <w:szCs w:val="21"/>
              </w:rPr>
              <w:t>年份</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422" w:right="0"/>
              <w:jc w:val="left"/>
              <w:rPr>
                <w:rFonts w:ascii="楷体" w:hAnsi="楷体" w:cs="楷体" w:eastAsia="楷体"/>
                <w:sz w:val="21"/>
                <w:szCs w:val="21"/>
              </w:rPr>
            </w:pPr>
            <w:r>
              <w:rPr>
                <w:rFonts w:ascii="楷体" w:hAnsi="楷体" w:cs="楷体" w:eastAsia="楷体"/>
                <w:sz w:val="21"/>
                <w:szCs w:val="21"/>
              </w:rPr>
              <w:t>所在省</w:t>
            </w:r>
          </w:p>
          <w:p>
            <w:pPr>
              <w:pStyle w:val="TableParagraph"/>
              <w:spacing w:line="240" w:lineRule="auto" w:before="37"/>
              <w:ind w:left="370" w:right="0"/>
              <w:jc w:val="left"/>
              <w:rPr>
                <w:rFonts w:ascii="楷体" w:hAnsi="楷体" w:cs="楷体" w:eastAsia="楷体"/>
                <w:sz w:val="21"/>
                <w:szCs w:val="21"/>
              </w:rPr>
            </w:pPr>
            <w:r>
              <w:rPr>
                <w:rFonts w:ascii="宋体" w:hAnsi="宋体" w:cs="宋体" w:eastAsia="宋体"/>
                <w:sz w:val="21"/>
                <w:szCs w:val="21"/>
              </w:rPr>
              <w:t>/</w:t>
            </w:r>
            <w:r>
              <w:rPr>
                <w:rFonts w:ascii="楷体" w:hAnsi="楷体" w:cs="楷体" w:eastAsia="楷体"/>
                <w:sz w:val="21"/>
                <w:szCs w:val="21"/>
              </w:rPr>
              <w:t>直辖市</w:t>
            </w:r>
          </w:p>
        </w:tc>
        <w:tc>
          <w:tcPr>
            <w:tcW w:w="14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2"/>
              <w:ind w:left="421" w:right="0"/>
              <w:jc w:val="left"/>
              <w:rPr>
                <w:rFonts w:ascii="楷体" w:hAnsi="楷体" w:cs="楷体" w:eastAsia="楷体"/>
                <w:sz w:val="21"/>
                <w:szCs w:val="21"/>
              </w:rPr>
            </w:pPr>
            <w:r>
              <w:rPr>
                <w:rFonts w:ascii="楷体" w:hAnsi="楷体" w:cs="楷体" w:eastAsia="楷体"/>
                <w:sz w:val="21"/>
                <w:szCs w:val="21"/>
              </w:rPr>
              <w:t>招生数</w:t>
            </w:r>
          </w:p>
        </w:tc>
        <w:tc>
          <w:tcPr>
            <w:tcW w:w="220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52" w:right="0" w:firstLine="52"/>
              <w:jc w:val="left"/>
              <w:rPr>
                <w:rFonts w:ascii="楷体" w:hAnsi="楷体" w:cs="楷体" w:eastAsia="楷体"/>
                <w:sz w:val="21"/>
                <w:szCs w:val="21"/>
              </w:rPr>
            </w:pPr>
            <w:r>
              <w:rPr>
                <w:rFonts w:ascii="楷体" w:hAnsi="楷体" w:cs="楷体" w:eastAsia="楷体"/>
                <w:sz w:val="21"/>
                <w:szCs w:val="21"/>
              </w:rPr>
              <w:t>该省</w:t>
            </w:r>
            <w:r>
              <w:rPr>
                <w:rFonts w:ascii="宋体" w:hAnsi="宋体" w:cs="宋体" w:eastAsia="宋体"/>
                <w:sz w:val="21"/>
                <w:szCs w:val="21"/>
              </w:rPr>
              <w:t>/</w:t>
            </w:r>
            <w:r>
              <w:rPr>
                <w:rFonts w:ascii="楷体" w:hAnsi="楷体" w:cs="楷体" w:eastAsia="楷体"/>
                <w:sz w:val="21"/>
                <w:szCs w:val="21"/>
              </w:rPr>
              <w:t>直辖市录取分</w:t>
            </w:r>
          </w:p>
          <w:p>
            <w:pPr>
              <w:pStyle w:val="TableParagraph"/>
              <w:spacing w:line="240" w:lineRule="auto" w:before="37"/>
              <w:ind w:left="152" w:right="0"/>
              <w:jc w:val="left"/>
              <w:rPr>
                <w:rFonts w:ascii="楷体" w:hAnsi="楷体" w:cs="楷体" w:eastAsia="楷体"/>
                <w:sz w:val="21"/>
                <w:szCs w:val="21"/>
              </w:rPr>
            </w:pPr>
            <w:r>
              <w:rPr>
                <w:rFonts w:ascii="楷体" w:hAnsi="楷体" w:cs="楷体" w:eastAsia="楷体"/>
                <w:sz w:val="21"/>
                <w:szCs w:val="21"/>
              </w:rPr>
              <w:t>与本专业分数线比较</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321" w:right="0"/>
              <w:jc w:val="left"/>
              <w:rPr>
                <w:rFonts w:ascii="楷体" w:hAnsi="楷体" w:cs="楷体" w:eastAsia="楷体"/>
                <w:sz w:val="21"/>
                <w:szCs w:val="21"/>
              </w:rPr>
            </w:pPr>
            <w:r>
              <w:rPr>
                <w:rFonts w:ascii="楷体" w:hAnsi="楷体" w:cs="楷体" w:eastAsia="楷体"/>
                <w:sz w:val="21"/>
                <w:szCs w:val="21"/>
              </w:rPr>
              <w:t>专业第一志</w:t>
            </w:r>
          </w:p>
          <w:p>
            <w:pPr>
              <w:pStyle w:val="TableParagraph"/>
              <w:spacing w:line="240" w:lineRule="auto" w:before="37"/>
              <w:ind w:left="321" w:right="0"/>
              <w:jc w:val="left"/>
              <w:rPr>
                <w:rFonts w:ascii="楷体" w:hAnsi="楷体" w:cs="楷体" w:eastAsia="楷体"/>
                <w:sz w:val="21"/>
                <w:szCs w:val="21"/>
              </w:rPr>
            </w:pPr>
            <w:r>
              <w:rPr>
                <w:rFonts w:ascii="楷体" w:hAnsi="楷体" w:cs="楷体" w:eastAsia="楷体"/>
                <w:sz w:val="21"/>
                <w:szCs w:val="21"/>
              </w:rPr>
              <w:t>愿录取比例</w:t>
            </w:r>
          </w:p>
        </w:tc>
      </w:tr>
      <w:tr>
        <w:trPr>
          <w:trHeight w:val="322" w:hRule="exact"/>
        </w:trPr>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1485" w:type="dxa"/>
            <w:tcBorders>
              <w:top w:val="single" w:sz="4" w:space="0" w:color="000000"/>
              <w:left w:val="single" w:sz="4" w:space="0" w:color="000000"/>
              <w:bottom w:val="single" w:sz="4" w:space="0" w:color="000000"/>
              <w:right w:val="single" w:sz="4" w:space="0" w:color="000000"/>
            </w:tcBorders>
          </w:tcPr>
          <w:p>
            <w:pPr/>
          </w:p>
        </w:tc>
        <w:tc>
          <w:tcPr>
            <w:tcW w:w="2208" w:type="dxa"/>
            <w:tcBorders>
              <w:top w:val="single" w:sz="4" w:space="0" w:color="000000"/>
              <w:left w:val="single" w:sz="4" w:space="0" w:color="000000"/>
              <w:bottom w:val="single" w:sz="4" w:space="0" w:color="000000"/>
              <w:right w:val="single" w:sz="4" w:space="0" w:color="000000"/>
            </w:tcBorders>
          </w:tcPr>
          <w:p>
            <w:pPr/>
          </w:p>
        </w:tc>
        <w:tc>
          <w:tcPr>
            <w:tcW w:w="1701"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6"/>
        <w:rPr>
          <w:rFonts w:ascii="华文楷体" w:hAnsi="华文楷体" w:cs="华文楷体" w:eastAsia="华文楷体"/>
          <w:sz w:val="21"/>
          <w:szCs w:val="21"/>
        </w:rPr>
      </w:pPr>
    </w:p>
    <w:p>
      <w:pPr>
        <w:pStyle w:val="BodyText"/>
        <w:spacing w:line="350" w:lineRule="exact" w:before="2"/>
        <w:ind w:right="119"/>
        <w:jc w:val="both"/>
      </w:pPr>
      <w:r>
        <w:rPr/>
        <w:t>②描述说明学校和院系两级建立符合学前教育专业特点、吸引乐教、适教的优秀生 源制度措施及效果情况。</w:t>
      </w:r>
    </w:p>
    <w:p>
      <w:pPr>
        <w:spacing w:line="240" w:lineRule="auto" w:before="2"/>
        <w:rPr>
          <w:rFonts w:ascii="华文楷体" w:hAnsi="华文楷体" w:cs="华文楷体" w:eastAsia="华文楷体"/>
          <w:sz w:val="27"/>
          <w:szCs w:val="27"/>
        </w:rPr>
      </w:pPr>
    </w:p>
    <w:p>
      <w:pPr>
        <w:pStyle w:val="BodyText"/>
        <w:spacing w:line="237" w:lineRule="auto"/>
        <w:ind w:right="115"/>
        <w:jc w:val="both"/>
        <w:rPr>
          <w:rFonts w:ascii="微软雅黑" w:hAnsi="微软雅黑" w:cs="微软雅黑" w:eastAsia="微软雅黑"/>
        </w:rPr>
      </w:pPr>
      <w:r>
        <w:rPr>
          <w:rFonts w:ascii="微软雅黑" w:hAnsi="微软雅黑" w:cs="微软雅黑" w:eastAsia="微软雅黑"/>
        </w:rPr>
        <w:t>8.2 [学生需求] 充分了解师范生发展诉求，加强学情分析。设计兼顾共性要求与个 性需求的培养方案与教学管理制度，鼓励跨院、跨校选修课程，为师范生的自主选 择和发展提供足够的空间。</w:t>
      </w:r>
    </w:p>
    <w:p>
      <w:pPr>
        <w:spacing w:line="240" w:lineRule="auto" w:before="5"/>
        <w:rPr>
          <w:rFonts w:ascii="微软雅黑" w:hAnsi="微软雅黑" w:cs="微软雅黑" w:eastAsia="微软雅黑"/>
          <w:sz w:val="17"/>
          <w:szCs w:val="17"/>
        </w:rPr>
      </w:pPr>
    </w:p>
    <w:p>
      <w:pPr>
        <w:pStyle w:val="BodyText"/>
        <w:spacing w:line="424" w:lineRule="auto"/>
        <w:ind w:right="119"/>
        <w:jc w:val="both"/>
      </w:pPr>
      <w:r>
        <w:rPr/>
        <w:t>①描述说明学校和院系两级建立师范生发展诉求、学情调研机制和师范生发展评价 指导体系，及其支持师范生个性化发展的情况。</w:t>
      </w:r>
    </w:p>
    <w:p>
      <w:pPr>
        <w:spacing w:line="240" w:lineRule="auto" w:before="1"/>
        <w:rPr>
          <w:rFonts w:ascii="华文楷体" w:hAnsi="华文楷体" w:cs="华文楷体" w:eastAsia="华文楷体"/>
          <w:sz w:val="15"/>
          <w:szCs w:val="15"/>
        </w:rPr>
      </w:pPr>
    </w:p>
    <w:p>
      <w:pPr>
        <w:pStyle w:val="BodyText"/>
        <w:spacing w:line="424" w:lineRule="auto"/>
        <w:ind w:right="119"/>
        <w:jc w:val="both"/>
      </w:pPr>
      <w:r>
        <w:rPr/>
        <w:t>②描述说明学校和院系两级针对专业教学和师范生个性发展需求的培养方案与管理 制度措施，及这些制度和措施在支持和促进师范生发展，满足师范生多样化需求方 面发挥的作用。</w:t>
      </w:r>
    </w:p>
    <w:p>
      <w:pPr>
        <w:spacing w:after="0" w:line="424" w:lineRule="auto"/>
        <w:jc w:val="both"/>
        <w:sectPr>
          <w:footerReference w:type="default" r:id="rId110"/>
          <w:pgSz w:w="12240" w:h="15840"/>
          <w:pgMar w:footer="677" w:header="773" w:top="960" w:bottom="860" w:left="1680" w:right="1680"/>
          <w:pgNumType w:start="20"/>
        </w:sectPr>
      </w:pPr>
    </w:p>
    <w:p>
      <w:pPr>
        <w:spacing w:line="240" w:lineRule="auto" w:before="0"/>
        <w:rPr>
          <w:rFonts w:ascii="华文楷体" w:hAnsi="华文楷体" w:cs="华文楷体" w:eastAsia="华文楷体"/>
          <w:sz w:val="20"/>
          <w:szCs w:val="20"/>
        </w:rPr>
      </w:pPr>
    </w:p>
    <w:p>
      <w:pPr>
        <w:spacing w:line="240" w:lineRule="auto" w:before="6"/>
        <w:rPr>
          <w:rFonts w:ascii="华文楷体" w:hAnsi="华文楷体" w:cs="华文楷体" w:eastAsia="华文楷体"/>
          <w:sz w:val="12"/>
          <w:szCs w:val="12"/>
        </w:rPr>
      </w:pPr>
    </w:p>
    <w:p>
      <w:pPr>
        <w:pStyle w:val="BodyText"/>
        <w:spacing w:line="353" w:lineRule="exact"/>
        <w:ind w:right="0"/>
        <w:jc w:val="both"/>
        <w:rPr>
          <w:rFonts w:ascii="微软雅黑" w:hAnsi="微软雅黑" w:cs="微软雅黑" w:eastAsia="微软雅黑"/>
        </w:rPr>
      </w:pPr>
      <w:r>
        <w:rPr>
          <w:rFonts w:ascii="微软雅黑" w:hAnsi="微软雅黑" w:cs="微软雅黑" w:eastAsia="微软雅黑"/>
        </w:rPr>
        <w:t>8.3 [成长指导] </w:t>
      </w:r>
      <w:r>
        <w:rPr>
          <w:rFonts w:ascii="微软雅黑" w:hAnsi="微软雅黑" w:cs="微软雅黑" w:eastAsia="微软雅黑"/>
          <w:spacing w:val="2"/>
        </w:rPr>
        <w:t> </w:t>
      </w:r>
      <w:r>
        <w:rPr>
          <w:rFonts w:ascii="微软雅黑" w:hAnsi="微软雅黑" w:cs="微软雅黑" w:eastAsia="微软雅黑"/>
        </w:rPr>
        <w:t>建立完善的师范生指导与服务体系，加强思想政治教育，能够适时</w:t>
      </w:r>
    </w:p>
    <w:p>
      <w:pPr>
        <w:pStyle w:val="BodyText"/>
        <w:spacing w:line="412" w:lineRule="exact" w:before="20"/>
        <w:ind w:right="119"/>
        <w:jc w:val="both"/>
        <w:rPr>
          <w:rFonts w:ascii="微软雅黑" w:hAnsi="微软雅黑" w:cs="微软雅黑" w:eastAsia="微软雅黑"/>
        </w:rPr>
      </w:pPr>
      <w:r>
        <w:rPr>
          <w:rFonts w:ascii="微软雅黑" w:hAnsi="微软雅黑" w:cs="微软雅黑" w:eastAsia="微软雅黑"/>
        </w:rPr>
        <w:t>为师范生提供生活指导、学习指导、职业生涯指导、就业创业指导、心理健康指导 等，满足师范生成长需求，并取得实效。</w:t>
      </w:r>
    </w:p>
    <w:p>
      <w:pPr>
        <w:pStyle w:val="BodyText"/>
        <w:spacing w:line="240" w:lineRule="auto" w:before="125"/>
        <w:ind w:right="0"/>
        <w:jc w:val="both"/>
      </w:pPr>
      <w:r>
        <w:rPr/>
        <w:t>①描述说明学校和院系两级设立的师范生指导和服务体系及运行方式。</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②列表说明对师范生开展的思想政治指导、学业指导、职业生涯指导、就业创业指 导、心理健康指导等方面的情况，包括指导人、指导渠道、指导方式、指导频度、 受益学生数、执行落实情况。并描述分析所取得的实效。</w:t>
      </w:r>
    </w:p>
    <w:p>
      <w:pPr>
        <w:pStyle w:val="BodyText"/>
        <w:spacing w:line="424" w:lineRule="auto" w:before="65"/>
        <w:ind w:right="119"/>
        <w:jc w:val="both"/>
      </w:pPr>
      <w:r>
        <w:rPr/>
        <w:t>③描述说明学校和院系两级全面、全程、全员育人制度建设情况，思想政治教育工 作贯穿专业教学全过程的情况及其实效。</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8.4 [学业监测] </w:t>
      </w:r>
      <w:r>
        <w:rPr>
          <w:rFonts w:ascii="微软雅黑" w:hAnsi="微软雅黑" w:cs="微软雅黑" w:eastAsia="微软雅黑"/>
          <w:spacing w:val="2"/>
        </w:rPr>
        <w:t> </w:t>
      </w:r>
      <w:r>
        <w:rPr>
          <w:rFonts w:ascii="微软雅黑" w:hAnsi="微软雅黑" w:cs="微软雅黑" w:eastAsia="微软雅黑"/>
        </w:rPr>
        <w:t>建立形成性评价机制，对师范生在整个学习过程中的表现进行跟踪</w:t>
      </w:r>
    </w:p>
    <w:p>
      <w:pPr>
        <w:pStyle w:val="BodyText"/>
        <w:spacing w:line="410" w:lineRule="exact" w:before="21"/>
        <w:ind w:right="119"/>
        <w:jc w:val="both"/>
        <w:rPr>
          <w:rFonts w:ascii="微软雅黑" w:hAnsi="微软雅黑" w:cs="微软雅黑" w:eastAsia="微软雅黑"/>
        </w:rPr>
      </w:pPr>
      <w:r>
        <w:rPr>
          <w:rFonts w:ascii="微软雅黑" w:hAnsi="微软雅黑" w:cs="微软雅黑" w:eastAsia="微软雅黑"/>
        </w:rPr>
        <w:t>与评估，鼓励师范生自我监测和自我评价，及时形成指导意见和改进策略，保证师 范生在毕业时达到毕业要求。</w:t>
      </w:r>
    </w:p>
    <w:p>
      <w:pPr>
        <w:pStyle w:val="BodyText"/>
        <w:spacing w:line="424" w:lineRule="auto" w:before="125"/>
        <w:ind w:right="119"/>
        <w:jc w:val="both"/>
      </w:pPr>
      <w:r>
        <w:rPr/>
        <w:t>①描述说明师范生形成性评价机制的建立情况，及对师范生在整个学习过程中的表 现进行跟踪与评估情况及实施成效。</w:t>
      </w:r>
    </w:p>
    <w:p>
      <w:pPr>
        <w:pStyle w:val="BodyText"/>
        <w:spacing w:line="424" w:lineRule="auto" w:before="65"/>
        <w:ind w:right="119"/>
        <w:jc w:val="both"/>
      </w:pPr>
      <w:r>
        <w:rPr/>
        <w:t>②描述说明近三年师范生学业预警情况，分析指导师范生开展自我监测和自我评价 评价的效果。</w:t>
      </w:r>
    </w:p>
    <w:p>
      <w:pPr>
        <w:pStyle w:val="BodyText"/>
        <w:spacing w:line="424" w:lineRule="auto" w:before="65"/>
        <w:ind w:right="119"/>
        <w:jc w:val="both"/>
      </w:pPr>
      <w:r>
        <w:rPr/>
        <w:t>③描述说明根据学生自我监测和自我评价结果进行指导和改进用以保证师范生在毕 业时达到专业毕业要求的情况，并举例说明。</w:t>
      </w:r>
    </w:p>
    <w:p>
      <w:pPr>
        <w:pStyle w:val="BodyText"/>
        <w:spacing w:line="331" w:lineRule="exact"/>
        <w:ind w:right="0"/>
        <w:jc w:val="both"/>
        <w:rPr>
          <w:rFonts w:ascii="微软雅黑" w:hAnsi="微软雅黑" w:cs="微软雅黑" w:eastAsia="微软雅黑"/>
        </w:rPr>
      </w:pPr>
      <w:r>
        <w:rPr>
          <w:rFonts w:ascii="微软雅黑" w:hAnsi="微软雅黑" w:cs="微软雅黑" w:eastAsia="微软雅黑"/>
        </w:rPr>
        <w:t>8.5 [就业质量] 毕业生的初次就业率不低于</w:t>
      </w:r>
      <w:r>
        <w:rPr>
          <w:rFonts w:ascii="微软雅黑" w:hAnsi="微软雅黑" w:cs="微软雅黑" w:eastAsia="微软雅黑"/>
          <w:spacing w:val="-9"/>
        </w:rPr>
        <w:t> </w:t>
      </w:r>
      <w:r>
        <w:rPr>
          <w:rFonts w:ascii="微软雅黑" w:hAnsi="微软雅黑" w:cs="微软雅黑" w:eastAsia="微软雅黑"/>
        </w:rPr>
        <w:t>75%，获得教师资格证书的比例不低于</w:t>
      </w:r>
    </w:p>
    <w:p>
      <w:pPr>
        <w:pStyle w:val="BodyText"/>
        <w:spacing w:line="412" w:lineRule="exact"/>
        <w:ind w:right="0"/>
        <w:jc w:val="both"/>
        <w:rPr>
          <w:rFonts w:ascii="微软雅黑" w:hAnsi="微软雅黑" w:cs="微软雅黑" w:eastAsia="微软雅黑"/>
        </w:rPr>
      </w:pPr>
      <w:r>
        <w:rPr>
          <w:rFonts w:ascii="微软雅黑" w:hAnsi="微软雅黑" w:cs="微软雅黑" w:eastAsia="微软雅黑"/>
        </w:rPr>
        <w:t>85%，且主要从事教育工作。</w:t>
      </w:r>
    </w:p>
    <w:p>
      <w:pPr>
        <w:pStyle w:val="BodyText"/>
        <w:spacing w:line="240" w:lineRule="auto" w:before="144"/>
        <w:ind w:right="0"/>
        <w:jc w:val="both"/>
      </w:pPr>
      <w:r>
        <w:rPr/>
        <w:t>①描述说明学校和院系两级促进专业毕业生就业质量的制度措施及效果。</w:t>
      </w:r>
    </w:p>
    <w:p>
      <w:pPr>
        <w:spacing w:line="240" w:lineRule="auto" w:before="8"/>
        <w:rPr>
          <w:rFonts w:ascii="华文楷体" w:hAnsi="华文楷体" w:cs="华文楷体" w:eastAsia="华文楷体"/>
          <w:sz w:val="18"/>
          <w:szCs w:val="18"/>
        </w:rPr>
      </w:pPr>
    </w:p>
    <w:p>
      <w:pPr>
        <w:pStyle w:val="BodyText"/>
        <w:spacing w:line="424" w:lineRule="auto"/>
        <w:ind w:right="119"/>
        <w:jc w:val="both"/>
      </w:pPr>
      <w:r>
        <w:rPr/>
        <w:t>②列表说明近三年专业毕业生教师资格考试通过率、就业率及就业去向，并对就业 质量及毕业生从教情况进行分析。</w:t>
      </w:r>
    </w:p>
    <w:p>
      <w:pPr>
        <w:spacing w:after="0" w:line="424" w:lineRule="auto"/>
        <w:jc w:val="both"/>
        <w:sectPr>
          <w:pgSz w:w="12240" w:h="15840"/>
          <w:pgMar w:header="773" w:footer="677" w:top="960" w:bottom="880" w:left="1680" w:right="1680"/>
        </w:sect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0"/>
        <w:rPr>
          <w:rFonts w:ascii="华文楷体" w:hAnsi="华文楷体" w:cs="华文楷体" w:eastAsia="华文楷体"/>
          <w:sz w:val="20"/>
          <w:szCs w:val="20"/>
        </w:rPr>
      </w:pPr>
    </w:p>
    <w:p>
      <w:pPr>
        <w:spacing w:line="240" w:lineRule="auto" w:before="6"/>
        <w:rPr>
          <w:rFonts w:ascii="华文楷体" w:hAnsi="华文楷体" w:cs="华文楷体" w:eastAsia="华文楷体"/>
          <w:sz w:val="14"/>
          <w:szCs w:val="14"/>
        </w:rPr>
      </w:pPr>
    </w:p>
    <w:tbl>
      <w:tblPr>
        <w:tblW w:w="0" w:type="auto"/>
        <w:jc w:val="left"/>
        <w:tblInd w:w="113" w:type="dxa"/>
        <w:tblLayout w:type="fixed"/>
        <w:tblCellMar>
          <w:top w:w="0" w:type="dxa"/>
          <w:left w:w="0" w:type="dxa"/>
          <w:bottom w:w="0" w:type="dxa"/>
          <w:right w:w="0" w:type="dxa"/>
        </w:tblCellMar>
        <w:tblLook w:val="01E0"/>
      </w:tblPr>
      <w:tblGrid>
        <w:gridCol w:w="555"/>
        <w:gridCol w:w="739"/>
        <w:gridCol w:w="855"/>
        <w:gridCol w:w="765"/>
        <w:gridCol w:w="829"/>
        <w:gridCol w:w="935"/>
        <w:gridCol w:w="623"/>
        <w:gridCol w:w="1144"/>
        <w:gridCol w:w="1148"/>
        <w:gridCol w:w="735"/>
        <w:gridCol w:w="590"/>
        <w:gridCol w:w="827"/>
        <w:gridCol w:w="549"/>
        <w:gridCol w:w="590"/>
      </w:tblGrid>
      <w:tr>
        <w:trPr>
          <w:trHeight w:val="478" w:hRule="exact"/>
        </w:trPr>
        <w:tc>
          <w:tcPr>
            <w:tcW w:w="5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408" w:lineRule="auto"/>
              <w:ind w:left="166" w:right="167"/>
              <w:jc w:val="left"/>
              <w:rPr>
                <w:rFonts w:ascii="楷体" w:hAnsi="楷体" w:cs="楷体" w:eastAsia="楷体"/>
                <w:sz w:val="21"/>
                <w:szCs w:val="21"/>
              </w:rPr>
            </w:pPr>
            <w:r>
              <w:rPr>
                <w:rFonts w:ascii="楷体" w:hAnsi="楷体" w:cs="楷体" w:eastAsia="楷体"/>
                <w:sz w:val="21"/>
                <w:szCs w:val="21"/>
              </w:rPr>
              <w:t>年</w:t>
            </w:r>
            <w:r>
              <w:rPr>
                <w:rFonts w:ascii="楷体" w:hAnsi="楷体" w:cs="楷体" w:eastAsia="楷体"/>
                <w:w w:val="99"/>
                <w:sz w:val="21"/>
                <w:szCs w:val="21"/>
              </w:rPr>
              <w:t> </w:t>
            </w:r>
            <w:r>
              <w:rPr>
                <w:rFonts w:ascii="楷体" w:hAnsi="楷体" w:cs="楷体" w:eastAsia="楷体"/>
                <w:sz w:val="21"/>
                <w:szCs w:val="21"/>
              </w:rPr>
              <w:t>份</w:t>
            </w:r>
          </w:p>
        </w:tc>
        <w:tc>
          <w:tcPr>
            <w:tcW w:w="73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54" w:right="0"/>
              <w:jc w:val="left"/>
              <w:rPr>
                <w:rFonts w:ascii="楷体" w:hAnsi="楷体" w:cs="楷体" w:eastAsia="楷体"/>
                <w:sz w:val="21"/>
                <w:szCs w:val="21"/>
              </w:rPr>
            </w:pPr>
            <w:r>
              <w:rPr>
                <w:rFonts w:ascii="楷体" w:hAnsi="楷体" w:cs="楷体" w:eastAsia="楷体"/>
                <w:sz w:val="21"/>
                <w:szCs w:val="21"/>
              </w:rPr>
              <w:t>毕业</w:t>
            </w:r>
          </w:p>
        </w:tc>
        <w:tc>
          <w:tcPr>
            <w:tcW w:w="85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10"/>
              <w:ind w:right="0"/>
              <w:jc w:val="left"/>
              <w:rPr>
                <w:rFonts w:ascii="华文楷体" w:hAnsi="华文楷体" w:cs="华文楷体" w:eastAsia="华文楷体"/>
                <w:sz w:val="28"/>
                <w:szCs w:val="28"/>
              </w:rPr>
            </w:pPr>
          </w:p>
          <w:p>
            <w:pPr>
              <w:pStyle w:val="TableParagraph"/>
              <w:spacing w:line="240" w:lineRule="auto"/>
              <w:ind w:left="106" w:right="0"/>
              <w:jc w:val="left"/>
              <w:rPr>
                <w:rFonts w:ascii="楷体" w:hAnsi="楷体" w:cs="楷体" w:eastAsia="楷体"/>
                <w:sz w:val="21"/>
                <w:szCs w:val="21"/>
              </w:rPr>
            </w:pPr>
            <w:r>
              <w:rPr>
                <w:rFonts w:ascii="楷体" w:hAnsi="楷体" w:cs="楷体" w:eastAsia="楷体"/>
                <w:sz w:val="21"/>
                <w:szCs w:val="21"/>
              </w:rPr>
              <w:t>毕业率</w:t>
            </w:r>
          </w:p>
        </w:tc>
        <w:tc>
          <w:tcPr>
            <w:tcW w:w="76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9"/>
              <w:ind w:right="0"/>
              <w:jc w:val="left"/>
              <w:rPr>
                <w:rFonts w:ascii="华文楷体" w:hAnsi="华文楷体" w:cs="华文楷体" w:eastAsia="华文楷体"/>
                <w:sz w:val="12"/>
                <w:szCs w:val="12"/>
              </w:rPr>
            </w:pPr>
          </w:p>
          <w:p>
            <w:pPr>
              <w:pStyle w:val="TableParagraph"/>
              <w:spacing w:line="240" w:lineRule="auto"/>
              <w:ind w:left="168" w:right="0"/>
              <w:jc w:val="left"/>
              <w:rPr>
                <w:rFonts w:ascii="楷体" w:hAnsi="楷体" w:cs="楷体" w:eastAsia="楷体"/>
                <w:sz w:val="21"/>
                <w:szCs w:val="21"/>
              </w:rPr>
            </w:pPr>
            <w:r>
              <w:rPr>
                <w:rFonts w:ascii="楷体" w:hAnsi="楷体" w:cs="楷体" w:eastAsia="楷体"/>
                <w:sz w:val="21"/>
                <w:szCs w:val="21"/>
              </w:rPr>
              <w:t>获学</w:t>
            </w:r>
          </w:p>
        </w:tc>
        <w:tc>
          <w:tcPr>
            <w:tcW w:w="829" w:type="dxa"/>
            <w:vMerge w:val="restart"/>
            <w:tcBorders>
              <w:top w:val="single" w:sz="4" w:space="0" w:color="000000"/>
              <w:left w:val="single" w:sz="4" w:space="0" w:color="000000"/>
              <w:right w:val="nil" w:sz="6" w:space="0" w:color="auto"/>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3"/>
              <w:ind w:right="0"/>
              <w:jc w:val="left"/>
              <w:rPr>
                <w:rFonts w:ascii="华文楷体" w:hAnsi="华文楷体" w:cs="华文楷体" w:eastAsia="华文楷体"/>
                <w:sz w:val="16"/>
                <w:szCs w:val="16"/>
              </w:rPr>
            </w:pPr>
          </w:p>
          <w:p>
            <w:pPr>
              <w:pStyle w:val="TableParagraph"/>
              <w:spacing w:line="240" w:lineRule="auto"/>
              <w:ind w:left="120" w:right="0"/>
              <w:jc w:val="left"/>
              <w:rPr>
                <w:rFonts w:ascii="楷体" w:hAnsi="楷体" w:cs="楷体" w:eastAsia="楷体"/>
                <w:sz w:val="21"/>
                <w:szCs w:val="21"/>
              </w:rPr>
            </w:pPr>
            <w:r>
              <w:rPr>
                <w:rFonts w:ascii="楷体" w:hAnsi="楷体" w:cs="楷体" w:eastAsia="楷体"/>
                <w:sz w:val="21"/>
                <w:szCs w:val="21"/>
              </w:rPr>
              <w:t>获教师</w:t>
            </w:r>
          </w:p>
        </w:tc>
        <w:tc>
          <w:tcPr>
            <w:tcW w:w="935" w:type="dxa"/>
            <w:vMerge w:val="restart"/>
            <w:tcBorders>
              <w:top w:val="single" w:sz="4" w:space="0" w:color="000000"/>
              <w:left w:val="nil" w:sz="6" w:space="0" w:color="auto"/>
              <w:right w:val="single" w:sz="4" w:space="0" w:color="000000"/>
            </w:tcBorders>
          </w:tcPr>
          <w:p>
            <w:pPr/>
          </w:p>
        </w:tc>
        <w:tc>
          <w:tcPr>
            <w:tcW w:w="6206" w:type="dxa"/>
            <w:gridSpan w:val="8"/>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3041" w:right="0"/>
              <w:jc w:val="left"/>
              <w:rPr>
                <w:rFonts w:ascii="楷体" w:hAnsi="楷体" w:cs="楷体" w:eastAsia="楷体"/>
                <w:sz w:val="21"/>
                <w:szCs w:val="21"/>
              </w:rPr>
            </w:pPr>
            <w:r>
              <w:rPr>
                <w:rFonts w:ascii="楷体" w:hAnsi="楷体" w:cs="楷体" w:eastAsia="楷体"/>
                <w:sz w:val="21"/>
                <w:szCs w:val="21"/>
              </w:rPr>
              <w:t>分类就业状况</w:t>
            </w:r>
          </w:p>
        </w:tc>
      </w:tr>
      <w:tr>
        <w:trPr>
          <w:trHeight w:val="354"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tcBorders>
              <w:left w:val="single" w:sz="4" w:space="0" w:color="000000"/>
              <w:bottom w:val="nil" w:sz="6" w:space="0" w:color="auto"/>
              <w:right w:val="nil" w:sz="6" w:space="0" w:color="auto"/>
            </w:tcBorders>
          </w:tcPr>
          <w:p>
            <w:pPr/>
          </w:p>
        </w:tc>
        <w:tc>
          <w:tcPr>
            <w:tcW w:w="935" w:type="dxa"/>
            <w:vMerge/>
            <w:tcBorders>
              <w:left w:val="nil" w:sz="6" w:space="0" w:color="auto"/>
              <w:bottom w:val="nil" w:sz="6" w:space="0" w:color="auto"/>
              <w:right w:val="single" w:sz="4" w:space="0" w:color="000000"/>
            </w:tcBorders>
          </w:tcPr>
          <w:p>
            <w:pPr/>
          </w:p>
        </w:tc>
        <w:tc>
          <w:tcPr>
            <w:tcW w:w="62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200" w:right="202"/>
              <w:jc w:val="left"/>
              <w:rPr>
                <w:rFonts w:ascii="楷体" w:hAnsi="楷体" w:cs="楷体" w:eastAsia="楷体"/>
                <w:sz w:val="21"/>
                <w:szCs w:val="21"/>
              </w:rPr>
            </w:pPr>
            <w:r>
              <w:rPr>
                <w:rFonts w:ascii="楷体" w:hAnsi="楷体" w:cs="楷体" w:eastAsia="楷体"/>
                <w:sz w:val="21"/>
                <w:szCs w:val="21"/>
              </w:rPr>
              <w:t>读</w:t>
            </w:r>
            <w:r>
              <w:rPr>
                <w:rFonts w:ascii="楷体" w:hAnsi="楷体" w:cs="楷体" w:eastAsia="楷体"/>
                <w:w w:val="99"/>
                <w:sz w:val="21"/>
                <w:szCs w:val="21"/>
              </w:rPr>
              <w:t> </w:t>
            </w:r>
            <w:r>
              <w:rPr>
                <w:rFonts w:ascii="楷体" w:hAnsi="楷体" w:cs="楷体" w:eastAsia="楷体"/>
                <w:sz w:val="21"/>
                <w:szCs w:val="21"/>
              </w:rPr>
              <w:t>研</w:t>
            </w:r>
          </w:p>
        </w:tc>
        <w:tc>
          <w:tcPr>
            <w:tcW w:w="1144" w:type="dxa"/>
            <w:tcBorders>
              <w:top w:val="single" w:sz="4" w:space="0" w:color="000000"/>
              <w:left w:val="single" w:sz="4" w:space="0" w:color="000000"/>
              <w:bottom w:val="nil" w:sz="6" w:space="0" w:color="auto"/>
              <w:right w:val="nil" w:sz="6" w:space="0" w:color="auto"/>
            </w:tcBorders>
          </w:tcPr>
          <w:p>
            <w:pPr>
              <w:pStyle w:val="TableParagraph"/>
              <w:spacing w:line="240" w:lineRule="auto" w:before="65"/>
              <w:ind w:left="148" w:right="0"/>
              <w:jc w:val="left"/>
              <w:rPr>
                <w:rFonts w:ascii="楷体" w:hAnsi="楷体" w:cs="楷体" w:eastAsia="楷体"/>
                <w:sz w:val="21"/>
                <w:szCs w:val="21"/>
              </w:rPr>
            </w:pPr>
            <w:r>
              <w:rPr>
                <w:rFonts w:ascii="楷体" w:hAnsi="楷体" w:cs="楷体" w:eastAsia="楷体"/>
                <w:sz w:val="21"/>
                <w:szCs w:val="21"/>
              </w:rPr>
              <w:t>政府及事</w:t>
            </w:r>
          </w:p>
        </w:tc>
        <w:tc>
          <w:tcPr>
            <w:tcW w:w="1148" w:type="dxa"/>
            <w:tcBorders>
              <w:top w:val="single" w:sz="4" w:space="0" w:color="000000"/>
              <w:left w:val="nil" w:sz="6" w:space="0" w:color="auto"/>
              <w:bottom w:val="nil" w:sz="6" w:space="0" w:color="auto"/>
              <w:right w:val="single" w:sz="4" w:space="0" w:color="000000"/>
            </w:tcBorders>
          </w:tcPr>
          <w:p>
            <w:pPr>
              <w:pStyle w:val="TableParagraph"/>
              <w:spacing w:line="240" w:lineRule="auto" w:before="65"/>
              <w:ind w:left="153" w:right="0"/>
              <w:jc w:val="left"/>
              <w:rPr>
                <w:rFonts w:ascii="楷体" w:hAnsi="楷体" w:cs="楷体" w:eastAsia="楷体"/>
                <w:sz w:val="21"/>
                <w:szCs w:val="21"/>
              </w:rPr>
            </w:pPr>
            <w:r>
              <w:rPr>
                <w:rFonts w:ascii="楷体" w:hAnsi="楷体" w:cs="楷体" w:eastAsia="楷体"/>
                <w:sz w:val="21"/>
                <w:szCs w:val="21"/>
              </w:rPr>
              <w:t>政府及事</w:t>
            </w:r>
          </w:p>
        </w:tc>
        <w:tc>
          <w:tcPr>
            <w:tcW w:w="73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240" w:lineRule="auto"/>
              <w:ind w:left="152" w:right="0"/>
              <w:jc w:val="left"/>
              <w:rPr>
                <w:rFonts w:ascii="楷体" w:hAnsi="楷体" w:cs="楷体" w:eastAsia="楷体"/>
                <w:sz w:val="21"/>
                <w:szCs w:val="21"/>
              </w:rPr>
            </w:pPr>
            <w:r>
              <w:rPr>
                <w:rFonts w:ascii="楷体" w:hAnsi="楷体" w:cs="楷体" w:eastAsia="楷体"/>
                <w:sz w:val="21"/>
                <w:szCs w:val="21"/>
              </w:rPr>
              <w:t>国有</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外</w:t>
            </w:r>
            <w:r>
              <w:rPr>
                <w:rFonts w:ascii="楷体" w:hAnsi="楷体" w:cs="楷体" w:eastAsia="楷体"/>
                <w:w w:val="99"/>
                <w:sz w:val="21"/>
                <w:szCs w:val="21"/>
              </w:rPr>
              <w:t> </w:t>
            </w:r>
            <w:r>
              <w:rPr>
                <w:rFonts w:ascii="楷体" w:hAnsi="楷体" w:cs="楷体" w:eastAsia="楷体"/>
                <w:sz w:val="21"/>
                <w:szCs w:val="21"/>
              </w:rPr>
              <w:t>企</w:t>
            </w:r>
          </w:p>
        </w:tc>
        <w:tc>
          <w:tcPr>
            <w:tcW w:w="82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240" w:lineRule="auto"/>
              <w:ind w:left="198" w:right="0"/>
              <w:jc w:val="left"/>
              <w:rPr>
                <w:rFonts w:ascii="楷体" w:hAnsi="楷体" w:cs="楷体" w:eastAsia="楷体"/>
                <w:sz w:val="21"/>
                <w:szCs w:val="21"/>
              </w:rPr>
            </w:pPr>
            <w:r>
              <w:rPr>
                <w:rFonts w:ascii="楷体" w:hAnsi="楷体" w:cs="楷体" w:eastAsia="楷体"/>
                <w:sz w:val="21"/>
                <w:szCs w:val="21"/>
              </w:rPr>
              <w:t>其它</w:t>
            </w:r>
          </w:p>
        </w:tc>
        <w:tc>
          <w:tcPr>
            <w:tcW w:w="5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63" w:right="165"/>
              <w:jc w:val="left"/>
              <w:rPr>
                <w:rFonts w:ascii="楷体" w:hAnsi="楷体" w:cs="楷体" w:eastAsia="楷体"/>
                <w:sz w:val="21"/>
                <w:szCs w:val="21"/>
              </w:rPr>
            </w:pPr>
            <w:r>
              <w:rPr>
                <w:rFonts w:ascii="楷体" w:hAnsi="楷体" w:cs="楷体" w:eastAsia="楷体"/>
                <w:sz w:val="21"/>
                <w:szCs w:val="21"/>
              </w:rPr>
              <w:t>入</w:t>
            </w:r>
            <w:r>
              <w:rPr>
                <w:rFonts w:ascii="楷体" w:hAnsi="楷体" w:cs="楷体" w:eastAsia="楷体"/>
                <w:w w:val="99"/>
                <w:sz w:val="21"/>
                <w:szCs w:val="21"/>
              </w:rPr>
              <w:t> </w:t>
            </w:r>
            <w:r>
              <w:rPr>
                <w:rFonts w:ascii="楷体" w:hAnsi="楷体" w:cs="楷体" w:eastAsia="楷体"/>
                <w:sz w:val="21"/>
                <w:szCs w:val="21"/>
              </w:rPr>
              <w:t>伍</w:t>
            </w:r>
          </w:p>
        </w:tc>
        <w:tc>
          <w:tcPr>
            <w:tcW w:w="590"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华文楷体" w:hAnsi="华文楷体" w:cs="华文楷体" w:eastAsia="华文楷体"/>
                <w:sz w:val="20"/>
                <w:szCs w:val="20"/>
              </w:rPr>
            </w:pPr>
          </w:p>
          <w:p>
            <w:pPr>
              <w:pStyle w:val="TableParagraph"/>
              <w:spacing w:line="240" w:lineRule="auto" w:before="5"/>
              <w:ind w:right="0"/>
              <w:jc w:val="left"/>
              <w:rPr>
                <w:rFonts w:ascii="华文楷体" w:hAnsi="华文楷体" w:cs="华文楷体" w:eastAsia="华文楷体"/>
                <w:sz w:val="16"/>
                <w:szCs w:val="16"/>
              </w:rPr>
            </w:pPr>
          </w:p>
          <w:p>
            <w:pPr>
              <w:pStyle w:val="TableParagraph"/>
              <w:spacing w:line="408" w:lineRule="auto"/>
              <w:ind w:left="185" w:right="183"/>
              <w:jc w:val="left"/>
              <w:rPr>
                <w:rFonts w:ascii="楷体" w:hAnsi="楷体" w:cs="楷体" w:eastAsia="楷体"/>
                <w:sz w:val="21"/>
                <w:szCs w:val="21"/>
              </w:rPr>
            </w:pPr>
            <w:r>
              <w:rPr>
                <w:rFonts w:ascii="楷体" w:hAnsi="楷体" w:cs="楷体" w:eastAsia="楷体"/>
                <w:sz w:val="21"/>
                <w:szCs w:val="21"/>
              </w:rPr>
              <w:t>出</w:t>
            </w:r>
            <w:r>
              <w:rPr>
                <w:rFonts w:ascii="楷体" w:hAnsi="楷体" w:cs="楷体" w:eastAsia="楷体"/>
                <w:w w:val="99"/>
                <w:sz w:val="21"/>
                <w:szCs w:val="21"/>
              </w:rPr>
              <w:t> </w:t>
            </w:r>
            <w:r>
              <w:rPr>
                <w:rFonts w:ascii="楷体" w:hAnsi="楷体" w:cs="楷体" w:eastAsia="楷体"/>
                <w:sz w:val="21"/>
                <w:szCs w:val="21"/>
              </w:rPr>
              <w:t>国</w:t>
            </w:r>
          </w:p>
        </w:tc>
      </w:tr>
      <w:tr>
        <w:trPr>
          <w:trHeight w:val="228"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179" w:right="0"/>
              <w:jc w:val="left"/>
              <w:rPr>
                <w:rFonts w:ascii="楷体" w:hAnsi="楷体" w:cs="楷体" w:eastAsia="楷体"/>
                <w:sz w:val="21"/>
                <w:szCs w:val="21"/>
              </w:rPr>
            </w:pPr>
            <w:r>
              <w:rPr>
                <w:rFonts w:ascii="楷体" w:hAnsi="楷体" w:cs="楷体" w:eastAsia="楷体"/>
                <w:sz w:val="21"/>
                <w:szCs w:val="21"/>
              </w:rPr>
              <w:t>一次就</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40" w:hRule="exact"/>
        </w:trPr>
        <w:tc>
          <w:tcPr>
            <w:tcW w:w="555" w:type="dxa"/>
            <w:vMerge/>
            <w:tcBorders>
              <w:left w:val="single" w:sz="4" w:space="0" w:color="000000"/>
              <w:right w:val="single" w:sz="4" w:space="0" w:color="000000"/>
            </w:tcBorders>
          </w:tcPr>
          <w:p>
            <w:pPr/>
          </w:p>
        </w:tc>
        <w:tc>
          <w:tcPr>
            <w:tcW w:w="739" w:type="dxa"/>
            <w:tcBorders>
              <w:top w:val="nil" w:sz="6" w:space="0" w:color="auto"/>
              <w:left w:val="single" w:sz="4" w:space="0" w:color="000000"/>
              <w:bottom w:val="nil" w:sz="6" w:space="0" w:color="auto"/>
              <w:right w:val="single" w:sz="4" w:space="0" w:color="000000"/>
            </w:tcBorders>
          </w:tcPr>
          <w:p>
            <w:pPr/>
          </w:p>
        </w:tc>
        <w:tc>
          <w:tcPr>
            <w:tcW w:w="855" w:type="dxa"/>
            <w:vMerge/>
            <w:tcBorders>
              <w:left w:val="single" w:sz="4" w:space="0" w:color="000000"/>
              <w:right w:val="single" w:sz="4" w:space="0" w:color="000000"/>
            </w:tcBorders>
          </w:tcPr>
          <w:p>
            <w:pPr/>
          </w:p>
        </w:tc>
        <w:tc>
          <w:tcPr>
            <w:tcW w:w="765" w:type="dxa"/>
            <w:tcBorders>
              <w:top w:val="nil" w:sz="6" w:space="0" w:color="auto"/>
              <w:left w:val="single" w:sz="4" w:space="0" w:color="000000"/>
              <w:bottom w:val="nil" w:sz="6" w:space="0" w:color="auto"/>
              <w:right w:val="single" w:sz="4" w:space="0" w:color="000000"/>
            </w:tcBorders>
          </w:tcPr>
          <w:p>
            <w:pPr/>
          </w:p>
        </w:tc>
        <w:tc>
          <w:tcPr>
            <w:tcW w:w="829" w:type="dxa"/>
            <w:tcBorders>
              <w:top w:val="nil" w:sz="6" w:space="0" w:color="auto"/>
              <w:left w:val="single" w:sz="4" w:space="0" w:color="000000"/>
              <w:bottom w:val="nil" w:sz="6" w:space="0" w:color="auto"/>
              <w:right w:val="nil" w:sz="6" w:space="0" w:color="auto"/>
            </w:tcBorders>
          </w:tcPr>
          <w:p>
            <w:pPr>
              <w:pStyle w:val="TableParagraph"/>
              <w:spacing w:line="219" w:lineRule="exact"/>
              <w:ind w:left="120" w:right="0"/>
              <w:jc w:val="left"/>
              <w:rPr>
                <w:rFonts w:ascii="楷体" w:hAnsi="楷体" w:cs="楷体" w:eastAsia="楷体"/>
                <w:sz w:val="21"/>
                <w:szCs w:val="21"/>
              </w:rPr>
            </w:pPr>
            <w:r>
              <w:rPr>
                <w:rFonts w:ascii="楷体" w:hAnsi="楷体" w:cs="楷体" w:eastAsia="楷体"/>
                <w:sz w:val="21"/>
                <w:szCs w:val="21"/>
              </w:rPr>
              <w:t>资格证</w:t>
            </w:r>
          </w:p>
        </w:tc>
        <w:tc>
          <w:tcPr>
            <w:tcW w:w="935" w:type="dxa"/>
            <w:tcBorders>
              <w:top w:val="nil" w:sz="6" w:space="0" w:color="auto"/>
              <w:left w:val="nil" w:sz="6" w:space="0" w:color="auto"/>
              <w:bottom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253" w:right="0"/>
              <w:jc w:val="left"/>
              <w:rPr>
                <w:rFonts w:ascii="楷体" w:hAnsi="楷体" w:cs="楷体" w:eastAsia="楷体"/>
                <w:sz w:val="21"/>
                <w:szCs w:val="21"/>
              </w:rPr>
            </w:pPr>
            <w:r>
              <w:rPr>
                <w:rFonts w:ascii="楷体" w:hAnsi="楷体" w:cs="楷体" w:eastAsia="楷体"/>
                <w:sz w:val="21"/>
                <w:szCs w:val="21"/>
              </w:rPr>
              <w:t>业单位</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259" w:right="0"/>
              <w:jc w:val="left"/>
              <w:rPr>
                <w:rFonts w:ascii="楷体" w:hAnsi="楷体" w:cs="楷体" w:eastAsia="楷体"/>
                <w:sz w:val="21"/>
                <w:szCs w:val="21"/>
              </w:rPr>
            </w:pPr>
            <w:r>
              <w:rPr>
                <w:rFonts w:ascii="楷体" w:hAnsi="楷体" w:cs="楷体" w:eastAsia="楷体"/>
                <w:sz w:val="21"/>
                <w:szCs w:val="21"/>
              </w:rPr>
              <w:t>业单位</w:t>
            </w:r>
          </w:p>
        </w:tc>
        <w:tc>
          <w:tcPr>
            <w:tcW w:w="735" w:type="dxa"/>
            <w:vMerge/>
            <w:tcBorders>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vMerge/>
            <w:tcBorders>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228" w:hRule="exact"/>
        </w:trPr>
        <w:tc>
          <w:tcPr>
            <w:tcW w:w="555" w:type="dxa"/>
            <w:vMerge/>
            <w:tcBorders>
              <w:left w:val="single" w:sz="4" w:space="0" w:color="000000"/>
              <w:right w:val="single" w:sz="4" w:space="0" w:color="000000"/>
            </w:tcBorders>
          </w:tcPr>
          <w:p>
            <w:pPr/>
          </w:p>
        </w:tc>
        <w:tc>
          <w:tcPr>
            <w:tcW w:w="739" w:type="dxa"/>
            <w:vMerge w:val="restart"/>
            <w:tcBorders>
              <w:top w:val="nil" w:sz="6" w:space="0" w:color="auto"/>
              <w:left w:val="single" w:sz="4" w:space="0" w:color="000000"/>
              <w:right w:val="single" w:sz="4" w:space="0" w:color="000000"/>
            </w:tcBorders>
          </w:tcPr>
          <w:p>
            <w:pPr>
              <w:pStyle w:val="TableParagraph"/>
              <w:spacing w:line="219" w:lineRule="exact"/>
              <w:ind w:left="154" w:right="0"/>
              <w:jc w:val="left"/>
              <w:rPr>
                <w:rFonts w:ascii="楷体" w:hAnsi="楷体" w:cs="楷体" w:eastAsia="楷体"/>
                <w:sz w:val="21"/>
                <w:szCs w:val="21"/>
              </w:rPr>
            </w:pPr>
            <w:r>
              <w:rPr>
                <w:rFonts w:ascii="楷体" w:hAnsi="楷体" w:cs="楷体" w:eastAsia="楷体"/>
                <w:sz w:val="21"/>
                <w:szCs w:val="21"/>
              </w:rPr>
              <w:t>生数</w:t>
            </w:r>
          </w:p>
        </w:tc>
        <w:tc>
          <w:tcPr>
            <w:tcW w:w="855" w:type="dxa"/>
            <w:vMerge/>
            <w:tcBorders>
              <w:left w:val="single" w:sz="4" w:space="0" w:color="000000"/>
              <w:right w:val="single" w:sz="4" w:space="0" w:color="000000"/>
            </w:tcBorders>
          </w:tcPr>
          <w:p>
            <w:pPr/>
          </w:p>
        </w:tc>
        <w:tc>
          <w:tcPr>
            <w:tcW w:w="765" w:type="dxa"/>
            <w:vMerge w:val="restart"/>
            <w:tcBorders>
              <w:top w:val="nil" w:sz="6" w:space="0" w:color="auto"/>
              <w:left w:val="single" w:sz="4" w:space="0" w:color="000000"/>
              <w:right w:val="single" w:sz="4" w:space="0" w:color="000000"/>
            </w:tcBorders>
          </w:tcPr>
          <w:p>
            <w:pPr>
              <w:pStyle w:val="TableParagraph"/>
              <w:spacing w:line="219" w:lineRule="exact"/>
              <w:ind w:left="168" w:right="0"/>
              <w:jc w:val="left"/>
              <w:rPr>
                <w:rFonts w:ascii="楷体" w:hAnsi="楷体" w:cs="楷体" w:eastAsia="楷体"/>
                <w:sz w:val="21"/>
                <w:szCs w:val="21"/>
              </w:rPr>
            </w:pPr>
            <w:r>
              <w:rPr>
                <w:rFonts w:ascii="楷体" w:hAnsi="楷体" w:cs="楷体" w:eastAsia="楷体"/>
                <w:sz w:val="21"/>
                <w:szCs w:val="21"/>
              </w:rPr>
              <w:t>位率</w:t>
            </w:r>
          </w:p>
        </w:tc>
        <w:tc>
          <w:tcPr>
            <w:tcW w:w="829" w:type="dxa"/>
            <w:tcBorders>
              <w:top w:val="nil" w:sz="6" w:space="0" w:color="auto"/>
              <w:left w:val="single" w:sz="4" w:space="0" w:color="000000"/>
              <w:bottom w:val="nil" w:sz="6" w:space="0" w:color="auto"/>
              <w:right w:val="nil" w:sz="6" w:space="0" w:color="auto"/>
            </w:tcBorders>
          </w:tcPr>
          <w:p>
            <w:pPr/>
          </w:p>
        </w:tc>
        <w:tc>
          <w:tcPr>
            <w:tcW w:w="935" w:type="dxa"/>
            <w:tcBorders>
              <w:top w:val="nil" w:sz="6" w:space="0" w:color="auto"/>
              <w:left w:val="nil" w:sz="6" w:space="0" w:color="auto"/>
              <w:bottom w:val="nil" w:sz="6" w:space="0" w:color="auto"/>
              <w:right w:val="single" w:sz="4" w:space="0" w:color="000000"/>
            </w:tcBorders>
          </w:tcPr>
          <w:p>
            <w:pPr>
              <w:pStyle w:val="TableParagraph"/>
              <w:spacing w:line="219" w:lineRule="exact"/>
              <w:ind w:left="283" w:right="0"/>
              <w:jc w:val="left"/>
              <w:rPr>
                <w:rFonts w:ascii="楷体" w:hAnsi="楷体" w:cs="楷体" w:eastAsia="楷体"/>
                <w:sz w:val="21"/>
                <w:szCs w:val="21"/>
              </w:rPr>
            </w:pPr>
            <w:r>
              <w:rPr>
                <w:rFonts w:ascii="楷体" w:hAnsi="楷体" w:cs="楷体" w:eastAsia="楷体"/>
                <w:sz w:val="21"/>
                <w:szCs w:val="21"/>
              </w:rPr>
              <w:t>业率</w:t>
            </w: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
        </w:tc>
        <w:tc>
          <w:tcPr>
            <w:tcW w:w="1148" w:type="dxa"/>
            <w:tcBorders>
              <w:top w:val="nil" w:sz="6" w:space="0" w:color="auto"/>
              <w:left w:val="nil" w:sz="6" w:space="0" w:color="auto"/>
              <w:bottom w:val="nil" w:sz="6" w:space="0" w:color="auto"/>
              <w:right w:val="single" w:sz="4" w:space="0" w:color="000000"/>
            </w:tcBorders>
          </w:tcPr>
          <w:p>
            <w:pPr/>
          </w:p>
        </w:tc>
        <w:tc>
          <w:tcPr>
            <w:tcW w:w="735" w:type="dxa"/>
            <w:tcBorders>
              <w:top w:val="nil" w:sz="6" w:space="0" w:color="auto"/>
              <w:left w:val="single" w:sz="4" w:space="0" w:color="000000"/>
              <w:bottom w:val="nil" w:sz="6" w:space="0" w:color="auto"/>
              <w:right w:val="single" w:sz="4" w:space="0" w:color="000000"/>
            </w:tcBorders>
          </w:tcPr>
          <w:p>
            <w:pPr/>
          </w:p>
        </w:tc>
        <w:tc>
          <w:tcPr>
            <w:tcW w:w="590" w:type="dxa"/>
            <w:vMerge/>
            <w:tcBorders>
              <w:left w:val="single" w:sz="4" w:space="0" w:color="000000"/>
              <w:right w:val="single" w:sz="4" w:space="0" w:color="000000"/>
            </w:tcBorders>
          </w:tcPr>
          <w:p>
            <w:pPr/>
          </w:p>
        </w:tc>
        <w:tc>
          <w:tcPr>
            <w:tcW w:w="827" w:type="dxa"/>
            <w:tcBorders>
              <w:top w:val="nil" w:sz="6" w:space="0" w:color="auto"/>
              <w:left w:val="single" w:sz="4" w:space="0" w:color="000000"/>
              <w:bottom w:val="nil" w:sz="6" w:space="0" w:color="auto"/>
              <w:right w:val="single" w:sz="4" w:space="0" w:color="000000"/>
            </w:tcBorders>
          </w:tcPr>
          <w:p>
            <w:pP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360" w:hRule="exact"/>
        </w:trPr>
        <w:tc>
          <w:tcPr>
            <w:tcW w:w="555" w:type="dxa"/>
            <w:vMerge/>
            <w:tcBorders>
              <w:left w:val="single" w:sz="4" w:space="0" w:color="000000"/>
              <w:right w:val="single" w:sz="4" w:space="0" w:color="000000"/>
            </w:tcBorders>
          </w:tcPr>
          <w:p>
            <w:pPr/>
          </w:p>
        </w:tc>
        <w:tc>
          <w:tcPr>
            <w:tcW w:w="739" w:type="dxa"/>
            <w:vMerge/>
            <w:tcBorders>
              <w:left w:val="single" w:sz="4" w:space="0" w:color="000000"/>
              <w:right w:val="single" w:sz="4" w:space="0" w:color="000000"/>
            </w:tcBorders>
          </w:tcPr>
          <w:p>
            <w:pPr/>
          </w:p>
        </w:tc>
        <w:tc>
          <w:tcPr>
            <w:tcW w:w="855" w:type="dxa"/>
            <w:vMerge/>
            <w:tcBorders>
              <w:left w:val="single" w:sz="4" w:space="0" w:color="000000"/>
              <w:right w:val="single" w:sz="4" w:space="0" w:color="000000"/>
            </w:tcBorders>
          </w:tcPr>
          <w:p>
            <w:pPr/>
          </w:p>
        </w:tc>
        <w:tc>
          <w:tcPr>
            <w:tcW w:w="765" w:type="dxa"/>
            <w:vMerge/>
            <w:tcBorders>
              <w:left w:val="single" w:sz="4" w:space="0" w:color="000000"/>
              <w:right w:val="single" w:sz="4" w:space="0" w:color="000000"/>
            </w:tcBorders>
          </w:tcPr>
          <w:p>
            <w:pPr/>
          </w:p>
        </w:tc>
        <w:tc>
          <w:tcPr>
            <w:tcW w:w="829" w:type="dxa"/>
            <w:vMerge w:val="restart"/>
            <w:tcBorders>
              <w:top w:val="nil" w:sz="6" w:space="0" w:color="auto"/>
              <w:left w:val="single" w:sz="4" w:space="0" w:color="000000"/>
              <w:right w:val="nil" w:sz="6" w:space="0" w:color="auto"/>
            </w:tcBorders>
          </w:tcPr>
          <w:p>
            <w:pPr>
              <w:pStyle w:val="TableParagraph"/>
              <w:spacing w:line="219" w:lineRule="exact"/>
              <w:ind w:left="226" w:right="0"/>
              <w:jc w:val="left"/>
              <w:rPr>
                <w:rFonts w:ascii="楷体" w:hAnsi="楷体" w:cs="楷体" w:eastAsia="楷体"/>
                <w:sz w:val="21"/>
                <w:szCs w:val="21"/>
              </w:rPr>
            </w:pPr>
            <w:r>
              <w:rPr>
                <w:rFonts w:ascii="楷体" w:hAnsi="楷体" w:cs="楷体" w:eastAsia="楷体"/>
                <w:sz w:val="21"/>
                <w:szCs w:val="21"/>
              </w:rPr>
              <w:t>书率</w:t>
            </w:r>
          </w:p>
        </w:tc>
        <w:tc>
          <w:tcPr>
            <w:tcW w:w="935" w:type="dxa"/>
            <w:vMerge w:val="restart"/>
            <w:tcBorders>
              <w:top w:val="nil" w:sz="6" w:space="0" w:color="auto"/>
              <w:left w:val="nil" w:sz="6" w:space="0" w:color="auto"/>
              <w:right w:val="single" w:sz="4" w:space="0" w:color="000000"/>
            </w:tcBorders>
          </w:tcPr>
          <w:p>
            <w:pPr/>
          </w:p>
        </w:tc>
        <w:tc>
          <w:tcPr>
            <w:tcW w:w="623" w:type="dxa"/>
            <w:vMerge/>
            <w:tcBorders>
              <w:left w:val="single" w:sz="4" w:space="0" w:color="000000"/>
              <w:right w:val="single" w:sz="4" w:space="0" w:color="000000"/>
            </w:tcBorders>
          </w:tcPr>
          <w:p>
            <w:pPr/>
          </w:p>
        </w:tc>
        <w:tc>
          <w:tcPr>
            <w:tcW w:w="1144" w:type="dxa"/>
            <w:tcBorders>
              <w:top w:val="nil" w:sz="6" w:space="0" w:color="auto"/>
              <w:left w:val="single" w:sz="4" w:space="0" w:color="000000"/>
              <w:bottom w:val="nil" w:sz="6" w:space="0" w:color="auto"/>
              <w:right w:val="nil" w:sz="6" w:space="0" w:color="auto"/>
            </w:tcBorders>
          </w:tcPr>
          <w:p>
            <w:pPr>
              <w:pStyle w:val="TableParagraph"/>
              <w:spacing w:line="231" w:lineRule="exact"/>
              <w:ind w:left="148" w:right="0"/>
              <w:jc w:val="left"/>
              <w:rPr>
                <w:rFonts w:ascii="楷体" w:hAnsi="楷体" w:cs="楷体" w:eastAsia="楷体"/>
                <w:sz w:val="21"/>
                <w:szCs w:val="21"/>
              </w:rPr>
            </w:pPr>
            <w:r>
              <w:rPr>
                <w:rFonts w:ascii="楷体" w:hAnsi="楷体" w:cs="楷体" w:eastAsia="楷体"/>
                <w:sz w:val="21"/>
                <w:szCs w:val="21"/>
              </w:rPr>
              <w:t>（教育部</w:t>
            </w:r>
          </w:p>
        </w:tc>
        <w:tc>
          <w:tcPr>
            <w:tcW w:w="1148" w:type="dxa"/>
            <w:tcBorders>
              <w:top w:val="nil" w:sz="6" w:space="0" w:color="auto"/>
              <w:left w:val="nil" w:sz="6" w:space="0" w:color="auto"/>
              <w:bottom w:val="nil" w:sz="6" w:space="0" w:color="auto"/>
              <w:right w:val="single" w:sz="4" w:space="0" w:color="000000"/>
            </w:tcBorders>
          </w:tcPr>
          <w:p>
            <w:pPr>
              <w:pStyle w:val="TableParagraph"/>
              <w:spacing w:line="231" w:lineRule="exact"/>
              <w:ind w:left="153" w:right="0"/>
              <w:jc w:val="left"/>
              <w:rPr>
                <w:rFonts w:ascii="楷体" w:hAnsi="楷体" w:cs="楷体" w:eastAsia="楷体"/>
                <w:sz w:val="21"/>
                <w:szCs w:val="21"/>
              </w:rPr>
            </w:pPr>
            <w:r>
              <w:rPr>
                <w:rFonts w:ascii="楷体" w:hAnsi="楷体" w:cs="楷体" w:eastAsia="楷体"/>
                <w:sz w:val="21"/>
                <w:szCs w:val="21"/>
              </w:rPr>
              <w:t>（非教育</w:t>
            </w:r>
          </w:p>
        </w:tc>
        <w:tc>
          <w:tcPr>
            <w:tcW w:w="735" w:type="dxa"/>
            <w:vMerge w:val="restart"/>
            <w:tcBorders>
              <w:top w:val="nil" w:sz="6" w:space="0" w:color="auto"/>
              <w:left w:val="single" w:sz="4" w:space="0" w:color="000000"/>
              <w:right w:val="single" w:sz="4" w:space="0" w:color="000000"/>
            </w:tcBorders>
          </w:tcPr>
          <w:p>
            <w:pPr>
              <w:pStyle w:val="TableParagraph"/>
              <w:spacing w:line="231" w:lineRule="exact"/>
              <w:ind w:left="152" w:right="0"/>
              <w:jc w:val="left"/>
              <w:rPr>
                <w:rFonts w:ascii="楷体" w:hAnsi="楷体" w:cs="楷体" w:eastAsia="楷体"/>
                <w:sz w:val="21"/>
                <w:szCs w:val="21"/>
              </w:rPr>
            </w:pPr>
            <w:r>
              <w:rPr>
                <w:rFonts w:ascii="楷体" w:hAnsi="楷体" w:cs="楷体" w:eastAsia="楷体"/>
                <w:sz w:val="21"/>
                <w:szCs w:val="21"/>
              </w:rPr>
              <w:t>企业</w:t>
            </w:r>
          </w:p>
        </w:tc>
        <w:tc>
          <w:tcPr>
            <w:tcW w:w="590" w:type="dxa"/>
            <w:vMerge/>
            <w:tcBorders>
              <w:left w:val="single" w:sz="4" w:space="0" w:color="000000"/>
              <w:right w:val="single" w:sz="4" w:space="0" w:color="000000"/>
            </w:tcBorders>
          </w:tcPr>
          <w:p>
            <w:pPr/>
          </w:p>
        </w:tc>
        <w:tc>
          <w:tcPr>
            <w:tcW w:w="827" w:type="dxa"/>
            <w:vMerge w:val="restart"/>
            <w:tcBorders>
              <w:top w:val="nil" w:sz="6" w:space="0" w:color="auto"/>
              <w:left w:val="single" w:sz="4" w:space="0" w:color="000000"/>
              <w:right w:val="single" w:sz="4" w:space="0" w:color="000000"/>
            </w:tcBorders>
          </w:tcPr>
          <w:p>
            <w:pPr>
              <w:pStyle w:val="TableParagraph"/>
              <w:spacing w:line="231" w:lineRule="exact"/>
              <w:ind w:left="198" w:right="0"/>
              <w:jc w:val="left"/>
              <w:rPr>
                <w:rFonts w:ascii="楷体" w:hAnsi="楷体" w:cs="楷体" w:eastAsia="楷体"/>
                <w:sz w:val="21"/>
                <w:szCs w:val="21"/>
              </w:rPr>
            </w:pPr>
            <w:r>
              <w:rPr>
                <w:rFonts w:ascii="楷体" w:hAnsi="楷体" w:cs="楷体" w:eastAsia="楷体"/>
                <w:sz w:val="21"/>
                <w:szCs w:val="21"/>
              </w:rPr>
              <w:t>企业</w:t>
            </w:r>
          </w:p>
        </w:tc>
        <w:tc>
          <w:tcPr>
            <w:tcW w:w="549" w:type="dxa"/>
            <w:vMerge/>
            <w:tcBorders>
              <w:left w:val="single" w:sz="4" w:space="0" w:color="000000"/>
              <w:right w:val="single" w:sz="4" w:space="0" w:color="000000"/>
            </w:tcBorders>
          </w:tcPr>
          <w:p>
            <w:pPr/>
          </w:p>
        </w:tc>
        <w:tc>
          <w:tcPr>
            <w:tcW w:w="590" w:type="dxa"/>
            <w:vMerge/>
            <w:tcBorders>
              <w:left w:val="single" w:sz="4" w:space="0" w:color="000000"/>
              <w:right w:val="single" w:sz="4" w:space="0" w:color="000000"/>
            </w:tcBorders>
          </w:tcPr>
          <w:p>
            <w:pPr/>
          </w:p>
        </w:tc>
      </w:tr>
      <w:tr>
        <w:trPr>
          <w:trHeight w:val="472" w:hRule="exact"/>
        </w:trPr>
        <w:tc>
          <w:tcPr>
            <w:tcW w:w="555" w:type="dxa"/>
            <w:vMerge/>
            <w:tcBorders>
              <w:left w:val="single" w:sz="4" w:space="0" w:color="000000"/>
              <w:bottom w:val="single" w:sz="4" w:space="0" w:color="000000"/>
              <w:right w:val="single" w:sz="4" w:space="0" w:color="000000"/>
            </w:tcBorders>
          </w:tcPr>
          <w:p>
            <w:pPr/>
          </w:p>
        </w:tc>
        <w:tc>
          <w:tcPr>
            <w:tcW w:w="739" w:type="dxa"/>
            <w:vMerge/>
            <w:tcBorders>
              <w:left w:val="single" w:sz="4" w:space="0" w:color="000000"/>
              <w:bottom w:val="single" w:sz="4" w:space="0" w:color="000000"/>
              <w:right w:val="single" w:sz="4" w:space="0" w:color="000000"/>
            </w:tcBorders>
          </w:tcPr>
          <w:p>
            <w:pPr/>
          </w:p>
        </w:tc>
        <w:tc>
          <w:tcPr>
            <w:tcW w:w="855" w:type="dxa"/>
            <w:vMerge/>
            <w:tcBorders>
              <w:left w:val="single" w:sz="4" w:space="0" w:color="000000"/>
              <w:bottom w:val="single" w:sz="4" w:space="0" w:color="000000"/>
              <w:right w:val="single" w:sz="4" w:space="0" w:color="000000"/>
            </w:tcBorders>
          </w:tcPr>
          <w:p>
            <w:pPr/>
          </w:p>
        </w:tc>
        <w:tc>
          <w:tcPr>
            <w:tcW w:w="765" w:type="dxa"/>
            <w:vMerge/>
            <w:tcBorders>
              <w:left w:val="single" w:sz="4" w:space="0" w:color="000000"/>
              <w:bottom w:val="single" w:sz="4" w:space="0" w:color="000000"/>
              <w:right w:val="single" w:sz="4" w:space="0" w:color="000000"/>
            </w:tcBorders>
          </w:tcPr>
          <w:p>
            <w:pPr/>
          </w:p>
        </w:tc>
        <w:tc>
          <w:tcPr>
            <w:tcW w:w="829" w:type="dxa"/>
            <w:vMerge/>
            <w:tcBorders>
              <w:left w:val="single" w:sz="4" w:space="0" w:color="000000"/>
              <w:bottom w:val="single" w:sz="4" w:space="0" w:color="000000"/>
              <w:right w:val="nil" w:sz="6" w:space="0" w:color="auto"/>
            </w:tcBorders>
          </w:tcPr>
          <w:p>
            <w:pPr/>
          </w:p>
        </w:tc>
        <w:tc>
          <w:tcPr>
            <w:tcW w:w="935" w:type="dxa"/>
            <w:vMerge/>
            <w:tcBorders>
              <w:left w:val="nil" w:sz="6" w:space="0" w:color="auto"/>
              <w:bottom w:val="single" w:sz="4" w:space="0" w:color="000000"/>
              <w:right w:val="single" w:sz="4" w:space="0" w:color="000000"/>
            </w:tcBorders>
          </w:tcPr>
          <w:p>
            <w:pPr/>
          </w:p>
        </w:tc>
        <w:tc>
          <w:tcPr>
            <w:tcW w:w="623" w:type="dxa"/>
            <w:vMerge/>
            <w:tcBorders>
              <w:left w:val="single" w:sz="4" w:space="0" w:color="000000"/>
              <w:bottom w:val="single" w:sz="4" w:space="0" w:color="000000"/>
              <w:right w:val="single" w:sz="4" w:space="0" w:color="000000"/>
            </w:tcBorders>
          </w:tcPr>
          <w:p>
            <w:pPr/>
          </w:p>
        </w:tc>
        <w:tc>
          <w:tcPr>
            <w:tcW w:w="1144" w:type="dxa"/>
            <w:tcBorders>
              <w:top w:val="nil" w:sz="6" w:space="0" w:color="auto"/>
              <w:left w:val="single" w:sz="4" w:space="0" w:color="000000"/>
              <w:bottom w:val="single" w:sz="4" w:space="0" w:color="000000"/>
              <w:right w:val="nil" w:sz="6" w:space="0" w:color="auto"/>
            </w:tcBorders>
          </w:tcPr>
          <w:p>
            <w:pPr>
              <w:pStyle w:val="TableParagraph"/>
              <w:spacing w:line="240" w:lineRule="auto" w:before="64"/>
              <w:ind w:left="357" w:right="0"/>
              <w:jc w:val="left"/>
              <w:rPr>
                <w:rFonts w:ascii="楷体" w:hAnsi="楷体" w:cs="楷体" w:eastAsia="楷体"/>
                <w:sz w:val="21"/>
                <w:szCs w:val="21"/>
              </w:rPr>
            </w:pPr>
            <w:r>
              <w:rPr>
                <w:rFonts w:ascii="楷体" w:hAnsi="楷体" w:cs="楷体" w:eastAsia="楷体"/>
                <w:sz w:val="21"/>
                <w:szCs w:val="21"/>
              </w:rPr>
              <w:t>门）</w:t>
            </w:r>
          </w:p>
        </w:tc>
        <w:tc>
          <w:tcPr>
            <w:tcW w:w="1148" w:type="dxa"/>
            <w:tcBorders>
              <w:top w:val="nil" w:sz="6" w:space="0" w:color="auto"/>
              <w:left w:val="nil" w:sz="6" w:space="0" w:color="auto"/>
              <w:bottom w:val="single" w:sz="4" w:space="0" w:color="000000"/>
              <w:right w:val="single" w:sz="4" w:space="0" w:color="000000"/>
            </w:tcBorders>
          </w:tcPr>
          <w:p>
            <w:pPr>
              <w:pStyle w:val="TableParagraph"/>
              <w:spacing w:line="240" w:lineRule="auto" w:before="64"/>
              <w:ind w:left="259" w:right="0"/>
              <w:jc w:val="left"/>
              <w:rPr>
                <w:rFonts w:ascii="楷体" w:hAnsi="楷体" w:cs="楷体" w:eastAsia="楷体"/>
                <w:sz w:val="21"/>
                <w:szCs w:val="21"/>
              </w:rPr>
            </w:pPr>
            <w:r>
              <w:rPr>
                <w:rFonts w:ascii="楷体" w:hAnsi="楷体" w:cs="楷体" w:eastAsia="楷体"/>
                <w:sz w:val="21"/>
                <w:szCs w:val="21"/>
              </w:rPr>
              <w:t>部门）</w:t>
            </w:r>
          </w:p>
        </w:tc>
        <w:tc>
          <w:tcPr>
            <w:tcW w:w="735"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c>
          <w:tcPr>
            <w:tcW w:w="827" w:type="dxa"/>
            <w:vMerge/>
            <w:tcBorders>
              <w:left w:val="single" w:sz="4" w:space="0" w:color="000000"/>
              <w:bottom w:val="single" w:sz="4" w:space="0" w:color="000000"/>
              <w:right w:val="single" w:sz="4" w:space="0" w:color="000000"/>
            </w:tcBorders>
          </w:tcPr>
          <w:p>
            <w:pPr/>
          </w:p>
        </w:tc>
        <w:tc>
          <w:tcPr>
            <w:tcW w:w="549" w:type="dxa"/>
            <w:vMerge/>
            <w:tcBorders>
              <w:left w:val="single" w:sz="4" w:space="0" w:color="000000"/>
              <w:bottom w:val="single" w:sz="4" w:space="0" w:color="000000"/>
              <w:right w:val="single" w:sz="4" w:space="0" w:color="000000"/>
            </w:tcBorders>
          </w:tcPr>
          <w:p>
            <w:pPr/>
          </w:p>
        </w:tc>
        <w:tc>
          <w:tcPr>
            <w:tcW w:w="590" w:type="dxa"/>
            <w:vMerge/>
            <w:tcBorders>
              <w:left w:val="single" w:sz="4" w:space="0" w:color="000000"/>
              <w:bottom w:val="single" w:sz="4" w:space="0" w:color="000000"/>
              <w:right w:val="single" w:sz="4" w:space="0" w:color="000000"/>
            </w:tcBorders>
          </w:tcPr>
          <w:p>
            <w:pPr/>
          </w:p>
        </w:tc>
      </w:tr>
      <w:tr>
        <w:trPr>
          <w:trHeight w:val="550" w:hRule="exact"/>
        </w:trPr>
        <w:tc>
          <w:tcPr>
            <w:tcW w:w="555" w:type="dxa"/>
            <w:tcBorders>
              <w:top w:val="single" w:sz="4" w:space="0" w:color="000000"/>
              <w:left w:val="single" w:sz="4" w:space="0" w:color="000000"/>
              <w:bottom w:val="single" w:sz="4" w:space="0" w:color="000000"/>
              <w:right w:val="single" w:sz="4" w:space="0" w:color="000000"/>
            </w:tcBorders>
          </w:tcPr>
          <w:p>
            <w:pPr/>
          </w:p>
        </w:tc>
        <w:tc>
          <w:tcPr>
            <w:tcW w:w="739" w:type="dxa"/>
            <w:tcBorders>
              <w:top w:val="single" w:sz="4" w:space="0" w:color="000000"/>
              <w:left w:val="single" w:sz="4" w:space="0" w:color="000000"/>
              <w:bottom w:val="single" w:sz="4" w:space="0" w:color="000000"/>
              <w:right w:val="single" w:sz="4" w:space="0" w:color="000000"/>
            </w:tcBorders>
          </w:tcPr>
          <w:p>
            <w:pPr/>
          </w:p>
        </w:tc>
        <w:tc>
          <w:tcPr>
            <w:tcW w:w="855" w:type="dxa"/>
            <w:tcBorders>
              <w:top w:val="single" w:sz="4" w:space="0" w:color="000000"/>
              <w:left w:val="single" w:sz="4" w:space="0" w:color="000000"/>
              <w:bottom w:val="single" w:sz="4" w:space="0" w:color="000000"/>
              <w:right w:val="single" w:sz="4" w:space="0" w:color="000000"/>
            </w:tcBorders>
          </w:tcPr>
          <w:p>
            <w:pPr/>
          </w:p>
        </w:tc>
        <w:tc>
          <w:tcPr>
            <w:tcW w:w="765" w:type="dxa"/>
            <w:tcBorders>
              <w:top w:val="single" w:sz="4" w:space="0" w:color="000000"/>
              <w:left w:val="single" w:sz="4" w:space="0" w:color="000000"/>
              <w:bottom w:val="single" w:sz="4" w:space="0" w:color="000000"/>
              <w:right w:val="single" w:sz="4" w:space="0" w:color="000000"/>
            </w:tcBorders>
          </w:tcPr>
          <w:p>
            <w:pPr/>
          </w:p>
        </w:tc>
        <w:tc>
          <w:tcPr>
            <w:tcW w:w="1764" w:type="dxa"/>
            <w:gridSpan w:val="2"/>
            <w:tcBorders>
              <w:top w:val="single" w:sz="4" w:space="0" w:color="000000"/>
              <w:left w:val="single" w:sz="4" w:space="0" w:color="000000"/>
              <w:bottom w:val="single" w:sz="4" w:space="0" w:color="000000"/>
              <w:right w:val="single" w:sz="4" w:space="0" w:color="000000"/>
            </w:tcBorders>
          </w:tcPr>
          <w:p>
            <w:pPr/>
          </w:p>
        </w:tc>
        <w:tc>
          <w:tcPr>
            <w:tcW w:w="623" w:type="dxa"/>
            <w:tcBorders>
              <w:top w:val="single" w:sz="4" w:space="0" w:color="000000"/>
              <w:left w:val="single" w:sz="4" w:space="0" w:color="000000"/>
              <w:bottom w:val="single" w:sz="4" w:space="0" w:color="000000"/>
              <w:right w:val="single" w:sz="4" w:space="0" w:color="000000"/>
            </w:tcBorders>
          </w:tcPr>
          <w:p>
            <w:pPr/>
          </w:p>
        </w:tc>
        <w:tc>
          <w:tcPr>
            <w:tcW w:w="2292" w:type="dxa"/>
            <w:gridSpan w:val="2"/>
            <w:tcBorders>
              <w:top w:val="single" w:sz="4" w:space="0" w:color="000000"/>
              <w:left w:val="single" w:sz="4" w:space="0" w:color="000000"/>
              <w:bottom w:val="single" w:sz="4" w:space="0" w:color="000000"/>
              <w:right w:val="single" w:sz="4" w:space="0" w:color="000000"/>
            </w:tcBorders>
          </w:tcPr>
          <w:p>
            <w:pPr/>
          </w:p>
        </w:tc>
        <w:tc>
          <w:tcPr>
            <w:tcW w:w="735"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c>
          <w:tcPr>
            <w:tcW w:w="827" w:type="dxa"/>
            <w:tcBorders>
              <w:top w:val="single" w:sz="4" w:space="0" w:color="000000"/>
              <w:left w:val="single" w:sz="4" w:space="0" w:color="000000"/>
              <w:bottom w:val="single" w:sz="4" w:space="0" w:color="000000"/>
              <w:right w:val="single" w:sz="4" w:space="0" w:color="000000"/>
            </w:tcBorders>
          </w:tcPr>
          <w:p>
            <w:pPr/>
          </w:p>
        </w:tc>
        <w:tc>
          <w:tcPr>
            <w:tcW w:w="549" w:type="dxa"/>
            <w:tcBorders>
              <w:top w:val="single" w:sz="4" w:space="0" w:color="000000"/>
              <w:left w:val="single" w:sz="4" w:space="0" w:color="000000"/>
              <w:bottom w:val="single" w:sz="4" w:space="0" w:color="000000"/>
              <w:right w:val="single" w:sz="4" w:space="0" w:color="000000"/>
            </w:tcBorders>
          </w:tcPr>
          <w:p>
            <w:pPr/>
          </w:p>
        </w:tc>
        <w:tc>
          <w:tcPr>
            <w:tcW w:w="590" w:type="dxa"/>
            <w:tcBorders>
              <w:top w:val="single" w:sz="4" w:space="0" w:color="000000"/>
              <w:left w:val="single" w:sz="4" w:space="0" w:color="000000"/>
              <w:bottom w:val="single" w:sz="4" w:space="0" w:color="000000"/>
              <w:right w:val="single" w:sz="4" w:space="0" w:color="000000"/>
            </w:tcBorders>
          </w:tcPr>
          <w:p>
            <w:pPr/>
          </w:p>
        </w:tc>
      </w:tr>
    </w:tbl>
    <w:p>
      <w:pPr>
        <w:spacing w:line="273" w:lineRule="exact" w:before="0"/>
        <w:ind w:left="1240" w:right="0" w:firstLine="420"/>
        <w:jc w:val="left"/>
        <w:rPr>
          <w:rFonts w:ascii="华文楷体" w:hAnsi="华文楷体" w:cs="华文楷体" w:eastAsia="华文楷体"/>
          <w:sz w:val="21"/>
          <w:szCs w:val="21"/>
        </w:rPr>
      </w:pPr>
      <w:r>
        <w:rPr>
          <w:rFonts w:ascii="华文楷体" w:hAnsi="华文楷体" w:cs="华文楷体" w:eastAsia="华文楷体"/>
          <w:sz w:val="21"/>
          <w:szCs w:val="21"/>
        </w:rPr>
        <w:t>注：分类就业状况可按照读研/政府部门/事业单位/国有企业/外企/其它企业/入伍/出国划</w:t>
      </w:r>
    </w:p>
    <w:p>
      <w:pPr>
        <w:spacing w:line="303" w:lineRule="exact" w:before="4"/>
        <w:ind w:left="1240" w:right="0" w:firstLine="0"/>
        <w:jc w:val="left"/>
        <w:rPr>
          <w:rFonts w:ascii="华文楷体" w:hAnsi="华文楷体" w:cs="华文楷体" w:eastAsia="华文楷体"/>
          <w:sz w:val="21"/>
          <w:szCs w:val="21"/>
        </w:rPr>
      </w:pPr>
      <w:r>
        <w:rPr>
          <w:rFonts w:ascii="华文楷体" w:hAnsi="华文楷体" w:cs="华文楷体" w:eastAsia="华文楷体"/>
          <w:sz w:val="21"/>
          <w:szCs w:val="21"/>
        </w:rPr>
        <w:t>分；特定专业也可以按照行业性质划分企业</w:t>
      </w:r>
    </w:p>
    <w:p>
      <w:pPr>
        <w:pStyle w:val="BodyText"/>
        <w:spacing w:line="409" w:lineRule="exact"/>
        <w:ind w:left="1240" w:right="0"/>
        <w:jc w:val="left"/>
        <w:rPr>
          <w:rFonts w:ascii="微软雅黑" w:hAnsi="微软雅黑" w:cs="微软雅黑" w:eastAsia="微软雅黑"/>
        </w:rPr>
      </w:pPr>
      <w:r>
        <w:rPr>
          <w:rFonts w:ascii="微软雅黑" w:hAnsi="微软雅黑" w:cs="微软雅黑" w:eastAsia="微软雅黑"/>
        </w:rPr>
        <w:t>8.6 [社会声誉]</w:t>
      </w:r>
      <w:r>
        <w:rPr>
          <w:rFonts w:ascii="微软雅黑" w:hAnsi="微软雅黑" w:cs="微软雅黑" w:eastAsia="微软雅黑"/>
          <w:spacing w:val="45"/>
        </w:rPr>
        <w:t> </w:t>
      </w:r>
      <w:r>
        <w:rPr>
          <w:rFonts w:ascii="微软雅黑" w:hAnsi="微软雅黑" w:cs="微软雅黑" w:eastAsia="微软雅黑"/>
        </w:rPr>
        <w:t>毕业生社会声誉好，用人单位满意度高。</w:t>
      </w:r>
    </w:p>
    <w:p>
      <w:pPr>
        <w:pStyle w:val="BodyText"/>
        <w:spacing w:line="424" w:lineRule="auto" w:before="142"/>
        <w:ind w:left="1240" w:right="0"/>
        <w:jc w:val="left"/>
      </w:pPr>
      <w:r>
        <w:rPr/>
        <w:t>①描述说明用人单位对专业毕业生满意度调查情况及调查结果（可用认证标准 7.3 </w:t>
      </w:r>
      <w:r>
        <w:rPr>
          <w:spacing w:val="-7"/>
        </w:rPr>
        <w:t>外部评价有关满意度调查相关信息举证）。</w:t>
      </w:r>
    </w:p>
    <w:p>
      <w:pPr>
        <w:spacing w:line="240" w:lineRule="auto" w:before="1"/>
        <w:rPr>
          <w:rFonts w:ascii="华文楷体" w:hAnsi="华文楷体" w:cs="华文楷体" w:eastAsia="华文楷体"/>
          <w:sz w:val="15"/>
          <w:szCs w:val="15"/>
        </w:rPr>
      </w:pPr>
    </w:p>
    <w:p>
      <w:pPr>
        <w:pStyle w:val="BodyText"/>
        <w:spacing w:line="424" w:lineRule="auto"/>
        <w:ind w:left="1240" w:right="0"/>
        <w:jc w:val="left"/>
      </w:pPr>
      <w:r>
        <w:rPr>
          <w:spacing w:val="-3"/>
        </w:rPr>
        <w:t>②描述说明专业建立毕业生跟踪反馈与改进机制的情况及其实效（可用认证标准</w:t>
      </w:r>
      <w:r>
        <w:rPr>
          <w:spacing w:val="5"/>
        </w:rPr>
        <w:t> </w:t>
      </w:r>
      <w:r>
        <w:rPr/>
        <w:t>7.3</w:t>
      </w:r>
      <w:r>
        <w:rPr/>
        <w:t> </w:t>
      </w:r>
      <w:r>
        <w:rPr>
          <w:spacing w:val="-6"/>
        </w:rPr>
        <w:t>外部评价有关毕业生跟踪调查相关信息举证）。</w:t>
      </w:r>
    </w:p>
    <w:p>
      <w:pPr>
        <w:pStyle w:val="BodyText"/>
        <w:spacing w:line="240" w:lineRule="auto" w:before="75"/>
        <w:ind w:left="1240" w:right="0"/>
        <w:jc w:val="left"/>
        <w:rPr>
          <w:rFonts w:ascii="微软雅黑" w:hAnsi="微软雅黑" w:cs="微软雅黑" w:eastAsia="微软雅黑"/>
        </w:rPr>
      </w:pPr>
      <w:r>
        <w:rPr>
          <w:rFonts w:ascii="微软雅黑" w:hAnsi="微软雅黑" w:cs="微软雅黑" w:eastAsia="微软雅黑"/>
        </w:rPr>
        <w:t>8.7 [持续支持] 对毕业生进行跟踪服务，了解毕业生专业发展需求，为毕业生提供 持续学习的机会和平台。</w:t>
      </w:r>
    </w:p>
    <w:p>
      <w:pPr>
        <w:pStyle w:val="BodyText"/>
        <w:spacing w:line="240" w:lineRule="auto" w:before="142"/>
        <w:ind w:left="1240" w:right="0"/>
        <w:jc w:val="left"/>
      </w:pPr>
      <w:r>
        <w:rPr/>
        <w:t>①描述说明专业建立持续支持毕业生的服务机制的情况及其实效。</w:t>
      </w:r>
    </w:p>
    <w:p>
      <w:pPr>
        <w:spacing w:line="240" w:lineRule="auto" w:before="8"/>
        <w:rPr>
          <w:rFonts w:ascii="华文楷体" w:hAnsi="华文楷体" w:cs="华文楷体" w:eastAsia="华文楷体"/>
          <w:sz w:val="18"/>
          <w:szCs w:val="18"/>
        </w:rPr>
      </w:pPr>
    </w:p>
    <w:p>
      <w:pPr>
        <w:pStyle w:val="BodyText"/>
        <w:spacing w:line="240" w:lineRule="auto"/>
        <w:ind w:left="1240" w:right="0"/>
        <w:jc w:val="left"/>
      </w:pPr>
      <w:r>
        <w:rPr/>
        <w:t>②列表说明专业近三年开展的支持毕业生专业发展需求的服务活动及其实效。</w:t>
      </w:r>
    </w:p>
    <w:p>
      <w:pPr>
        <w:spacing w:line="240" w:lineRule="auto" w:before="6"/>
        <w:rPr>
          <w:rFonts w:ascii="华文楷体" w:hAnsi="华文楷体" w:cs="华文楷体" w:eastAsia="华文楷体"/>
          <w:sz w:val="26"/>
          <w:szCs w:val="26"/>
        </w:rPr>
      </w:pPr>
    </w:p>
    <w:p>
      <w:pPr>
        <w:pStyle w:val="Heading5"/>
        <w:spacing w:line="240" w:lineRule="auto"/>
        <w:ind w:left="1240" w:right="0"/>
        <w:jc w:val="left"/>
        <w:rPr>
          <w:b w:val="0"/>
          <w:bCs w:val="0"/>
        </w:rPr>
      </w:pPr>
      <w:bookmarkStart w:name="第二部分：主要问题" w:id="248"/>
      <w:bookmarkEnd w:id="248"/>
      <w:r>
        <w:rPr>
          <w:b w:val="0"/>
          <w:bCs w:val="0"/>
        </w:rPr>
      </w:r>
      <w:r>
        <w:rPr/>
        <w:t>第二部分：主要问题</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40" w:right="0" w:firstLine="0"/>
        <w:jc w:val="left"/>
        <w:rPr>
          <w:rFonts w:ascii="楷体" w:hAnsi="楷体" w:cs="楷体" w:eastAsia="楷体"/>
          <w:sz w:val="21"/>
          <w:szCs w:val="21"/>
        </w:rPr>
      </w:pPr>
      <w:r>
        <w:rPr>
          <w:rFonts w:ascii="楷体" w:hAnsi="楷体" w:cs="楷体" w:eastAsia="楷体"/>
          <w:w w:val="95"/>
          <w:sz w:val="21"/>
          <w:szCs w:val="21"/>
        </w:rPr>
        <w:t>（请根据上述逐条对标情况，按标准条文明确清晰地描述分析专业对标自评中发现的问题与不</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足，为专业持续改进提供依据）</w:t>
      </w:r>
    </w:p>
    <w:p>
      <w:pPr>
        <w:spacing w:line="240" w:lineRule="auto" w:before="10"/>
        <w:rPr>
          <w:rFonts w:ascii="楷体" w:hAnsi="楷体" w:cs="楷体" w:eastAsia="楷体"/>
          <w:sz w:val="17"/>
          <w:szCs w:val="17"/>
        </w:rPr>
      </w:pPr>
    </w:p>
    <w:p>
      <w:pPr>
        <w:pStyle w:val="Heading5"/>
        <w:spacing w:line="240" w:lineRule="auto"/>
        <w:ind w:left="1240" w:right="0"/>
        <w:jc w:val="left"/>
        <w:rPr>
          <w:b w:val="0"/>
          <w:bCs w:val="0"/>
        </w:rPr>
      </w:pPr>
      <w:bookmarkStart w:name="第三部分：改进措施" w:id="249"/>
      <w:bookmarkEnd w:id="249"/>
      <w:r>
        <w:rPr>
          <w:b w:val="0"/>
          <w:bCs w:val="0"/>
        </w:rPr>
      </w:r>
      <w:r>
        <w:rPr/>
        <w:t>第三部分：改进措施</w:t>
      </w:r>
      <w:r>
        <w:rPr>
          <w:b w:val="0"/>
          <w:bCs w:val="0"/>
        </w:rPr>
      </w:r>
    </w:p>
    <w:p>
      <w:pPr>
        <w:spacing w:line="240" w:lineRule="auto" w:before="3"/>
        <w:rPr>
          <w:rFonts w:ascii="微软雅黑" w:hAnsi="微软雅黑" w:cs="微软雅黑" w:eastAsia="微软雅黑"/>
          <w:b/>
          <w:bCs/>
          <w:sz w:val="17"/>
          <w:szCs w:val="17"/>
        </w:rPr>
      </w:pPr>
    </w:p>
    <w:p>
      <w:pPr>
        <w:spacing w:line="273" w:lineRule="auto" w:before="0"/>
        <w:ind w:left="1240" w:right="0" w:firstLine="0"/>
        <w:jc w:val="left"/>
        <w:rPr>
          <w:rFonts w:ascii="楷体" w:hAnsi="楷体" w:cs="楷体" w:eastAsia="楷体"/>
          <w:sz w:val="21"/>
          <w:szCs w:val="21"/>
        </w:rPr>
      </w:pPr>
      <w:r>
        <w:rPr>
          <w:rFonts w:ascii="楷体" w:hAnsi="楷体" w:cs="楷体" w:eastAsia="楷体"/>
          <w:w w:val="95"/>
          <w:sz w:val="21"/>
          <w:szCs w:val="21"/>
        </w:rPr>
        <w:t>（请针对自评中发现的问题与不足，按标准条文明确清晰地描述采取的改进措施。认证专家将</w:t>
      </w:r>
      <w:r>
        <w:rPr>
          <w:rFonts w:ascii="楷体" w:hAnsi="楷体" w:cs="楷体" w:eastAsia="楷体"/>
          <w:spacing w:val="10"/>
          <w:w w:val="95"/>
          <w:sz w:val="21"/>
          <w:szCs w:val="21"/>
        </w:rPr>
        <w:t> </w:t>
      </w:r>
      <w:r>
        <w:rPr>
          <w:rFonts w:ascii="楷体" w:hAnsi="楷体" w:cs="楷体" w:eastAsia="楷体"/>
          <w:spacing w:val="10"/>
          <w:w w:val="95"/>
          <w:sz w:val="21"/>
          <w:szCs w:val="21"/>
        </w:rPr>
      </w:r>
      <w:r>
        <w:rPr>
          <w:rFonts w:ascii="楷体" w:hAnsi="楷体" w:cs="楷体" w:eastAsia="楷体"/>
          <w:sz w:val="21"/>
          <w:szCs w:val="21"/>
        </w:rPr>
        <w:t>视改进情况作出评判）</w:t>
      </w:r>
    </w:p>
    <w:p>
      <w:pPr>
        <w:spacing w:after="0" w:line="273" w:lineRule="auto"/>
        <w:jc w:val="left"/>
        <w:rPr>
          <w:rFonts w:ascii="楷体" w:hAnsi="楷体" w:cs="楷体" w:eastAsia="楷体"/>
          <w:sz w:val="21"/>
          <w:szCs w:val="21"/>
        </w:rPr>
        <w:sectPr>
          <w:headerReference w:type="default" r:id="rId111"/>
          <w:pgSz w:w="12240" w:h="15840"/>
          <w:pgMar w:header="773" w:footer="677" w:top="960" w:bottom="880" w:left="560" w:right="560"/>
        </w:sectPr>
      </w:pPr>
    </w:p>
    <w:p>
      <w:pPr>
        <w:spacing w:line="240" w:lineRule="auto" w:before="0"/>
        <w:rPr>
          <w:rFonts w:ascii="楷体" w:hAnsi="楷体" w:cs="楷体" w:eastAsia="楷体"/>
          <w:sz w:val="20"/>
          <w:szCs w:val="20"/>
        </w:rPr>
      </w:pPr>
    </w:p>
    <w:p>
      <w:pPr>
        <w:spacing w:line="240" w:lineRule="auto" w:before="2"/>
        <w:rPr>
          <w:rFonts w:ascii="楷体" w:hAnsi="楷体" w:cs="楷体" w:eastAsia="楷体"/>
          <w:sz w:val="23"/>
          <w:szCs w:val="23"/>
        </w:rPr>
      </w:pPr>
    </w:p>
    <w:p>
      <w:pPr>
        <w:pStyle w:val="Heading4"/>
        <w:spacing w:line="399" w:lineRule="exact"/>
        <w:ind w:left="220" w:right="0"/>
        <w:jc w:val="left"/>
        <w:rPr>
          <w:b w:val="0"/>
          <w:bCs w:val="0"/>
        </w:rPr>
      </w:pPr>
      <w:bookmarkStart w:name="附录 支撑材料清单" w:id="250"/>
      <w:bookmarkEnd w:id="250"/>
      <w:r>
        <w:rPr>
          <w:b w:val="0"/>
          <w:bCs w:val="0"/>
        </w:rPr>
      </w:r>
      <w:r>
        <w:rPr/>
        <w:t>附录</w:t>
      </w:r>
      <w:r>
        <w:rPr>
          <w:spacing w:val="53"/>
        </w:rPr>
        <w:t> </w:t>
      </w:r>
      <w:r>
        <w:rPr/>
        <w:t>支撑材料清单</w:t>
      </w:r>
      <w:r>
        <w:rPr>
          <w:b w:val="0"/>
          <w:bCs w:val="0"/>
        </w:rPr>
      </w:r>
    </w:p>
    <w:p>
      <w:pPr>
        <w:spacing w:line="240" w:lineRule="auto" w:before="0"/>
        <w:rPr>
          <w:rFonts w:ascii="微软雅黑" w:hAnsi="微软雅黑" w:cs="微软雅黑" w:eastAsia="微软雅黑"/>
          <w:b/>
          <w:bCs/>
          <w:sz w:val="20"/>
          <w:szCs w:val="20"/>
        </w:rPr>
      </w:pPr>
    </w:p>
    <w:p>
      <w:pPr>
        <w:spacing w:line="240" w:lineRule="auto" w:before="9"/>
        <w:rPr>
          <w:rFonts w:ascii="微软雅黑" w:hAnsi="微软雅黑" w:cs="微软雅黑" w:eastAsia="微软雅黑"/>
          <w:b/>
          <w:bCs/>
          <w:sz w:val="23"/>
          <w:szCs w:val="23"/>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4"/>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培养目标</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1.1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1.3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3"/>
              <w:ind w:right="0"/>
              <w:jc w:val="left"/>
              <w:rPr>
                <w:rFonts w:ascii="微软雅黑" w:hAnsi="微软雅黑" w:cs="微软雅黑" w:eastAsia="微软雅黑"/>
                <w:b/>
                <w:bCs/>
                <w:sz w:val="12"/>
                <w:szCs w:val="12"/>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毕业要求</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2.7</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2.8</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2.9</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2.10</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5"/>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课程与教</w:t>
            </w:r>
            <w:r>
              <w:rPr>
                <w:rFonts w:ascii="仿宋" w:hAnsi="仿宋" w:cs="仿宋" w:eastAsia="仿宋"/>
                <w:w w:val="99"/>
                <w:sz w:val="21"/>
                <w:szCs w:val="21"/>
              </w:rPr>
              <w:t> </w:t>
            </w:r>
            <w:r>
              <w:rPr>
                <w:rFonts w:ascii="仿宋" w:hAnsi="仿宋" w:cs="仿宋" w:eastAsia="仿宋"/>
                <w:sz w:val="21"/>
                <w:szCs w:val="21"/>
              </w:rPr>
              <w:t>学</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3.3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3.4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3.5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4"/>
              <w:ind w:right="0"/>
              <w:jc w:val="left"/>
              <w:rPr>
                <w:rFonts w:ascii="微软雅黑" w:hAnsi="微软雅黑" w:cs="微软雅黑" w:eastAsia="微软雅黑"/>
                <w:b/>
                <w:bCs/>
                <w:sz w:val="12"/>
                <w:szCs w:val="12"/>
              </w:rPr>
            </w:pPr>
          </w:p>
          <w:p>
            <w:pPr>
              <w:pStyle w:val="TableParagraph"/>
              <w:spacing w:line="297" w:lineRule="auto"/>
              <w:ind w:left="441" w:right="125" w:hanging="315"/>
              <w:jc w:val="left"/>
              <w:rPr>
                <w:rFonts w:ascii="仿宋" w:hAnsi="仿宋" w:cs="仿宋" w:eastAsia="仿宋"/>
                <w:sz w:val="21"/>
                <w:szCs w:val="21"/>
              </w:rPr>
            </w:pPr>
            <w:r>
              <w:rPr>
                <w:rFonts w:ascii="仿宋" w:hAnsi="仿宋" w:cs="仿宋" w:eastAsia="仿宋"/>
                <w:sz w:val="21"/>
                <w:szCs w:val="21"/>
              </w:rPr>
              <w:t>合作与实</w:t>
            </w:r>
            <w:r>
              <w:rPr>
                <w:rFonts w:ascii="仿宋" w:hAnsi="仿宋" w:cs="仿宋" w:eastAsia="仿宋"/>
                <w:w w:val="99"/>
                <w:sz w:val="21"/>
                <w:szCs w:val="21"/>
              </w:rPr>
              <w:t> </w:t>
            </w:r>
            <w:r>
              <w:rPr>
                <w:rFonts w:ascii="仿宋" w:hAnsi="仿宋" w:cs="仿宋" w:eastAsia="仿宋"/>
                <w:sz w:val="21"/>
                <w:szCs w:val="21"/>
              </w:rPr>
              <w:t>践</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4.1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4.4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4.5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微软雅黑" w:hAnsi="微软雅黑" w:cs="微软雅黑" w:eastAsia="微软雅黑"/>
                <w:b/>
                <w:bCs/>
                <w:sz w:val="20"/>
                <w:szCs w:val="20"/>
              </w:rPr>
            </w:pPr>
          </w:p>
          <w:p>
            <w:pPr>
              <w:pStyle w:val="TableParagraph"/>
              <w:spacing w:line="240" w:lineRule="auto" w:before="16"/>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师资队伍</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5.2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5.4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5"/>
              <w:ind w:right="0"/>
              <w:jc w:val="left"/>
              <w:rPr>
                <w:rFonts w:ascii="微软雅黑" w:hAnsi="微软雅黑" w:cs="微软雅黑" w:eastAsia="微软雅黑"/>
                <w:b/>
                <w:bCs/>
                <w:sz w:val="21"/>
                <w:szCs w:val="2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支持条件</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6.1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6.2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6.3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before="12"/>
              <w:ind w:right="0"/>
              <w:jc w:val="left"/>
              <w:rPr>
                <w:rFonts w:ascii="微软雅黑" w:hAnsi="微软雅黑" w:cs="微软雅黑" w:eastAsia="微软雅黑"/>
                <w:b/>
                <w:bCs/>
                <w:sz w:val="11"/>
                <w:szCs w:val="11"/>
              </w:rPr>
            </w:pPr>
          </w:p>
          <w:p>
            <w:pPr>
              <w:pStyle w:val="TableParagraph"/>
              <w:spacing w:line="240" w:lineRule="auto"/>
              <w:ind w:left="127" w:right="0"/>
              <w:jc w:val="left"/>
              <w:rPr>
                <w:rFonts w:ascii="仿宋" w:hAnsi="仿宋" w:cs="仿宋" w:eastAsia="仿宋"/>
                <w:sz w:val="21"/>
                <w:szCs w:val="21"/>
              </w:rPr>
            </w:pPr>
            <w:r>
              <w:rPr>
                <w:rFonts w:ascii="仿宋" w:hAnsi="仿宋" w:cs="仿宋" w:eastAsia="仿宋"/>
                <w:sz w:val="21"/>
                <w:szCs w:val="21"/>
              </w:rPr>
              <w:t>质量保障</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48"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7.2</w:t>
            </w:r>
          </w:p>
        </w:tc>
        <w:tc>
          <w:tcPr>
            <w:tcW w:w="6339"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header="773" w:footer="677" w:top="960" w:bottom="880" w:left="1580" w:right="1580"/>
        </w:sectPr>
      </w:pP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0"/>
          <w:szCs w:val="20"/>
        </w:rPr>
      </w:pPr>
    </w:p>
    <w:tbl>
      <w:tblPr>
        <w:tblW w:w="0" w:type="auto"/>
        <w:jc w:val="left"/>
        <w:tblInd w:w="107" w:type="dxa"/>
        <w:tblLayout w:type="fixed"/>
        <w:tblCellMar>
          <w:top w:w="0" w:type="dxa"/>
          <w:left w:w="0" w:type="dxa"/>
          <w:bottom w:w="0" w:type="dxa"/>
          <w:right w:w="0" w:type="dxa"/>
        </w:tblCellMar>
        <w:tblLook w:val="01E0"/>
      </w:tblPr>
      <w:tblGrid>
        <w:gridCol w:w="1102"/>
        <w:gridCol w:w="1415"/>
        <w:gridCol w:w="6339"/>
      </w:tblGrid>
      <w:tr>
        <w:trPr>
          <w:trHeight w:val="322" w:hRule="exact"/>
        </w:trPr>
        <w:tc>
          <w:tcPr>
            <w:tcW w:w="11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仿宋" w:hAnsi="仿宋" w:cs="仿宋" w:eastAsia="仿宋"/>
                <w:sz w:val="21"/>
                <w:szCs w:val="21"/>
              </w:rPr>
            </w:pPr>
            <w:r>
              <w:rPr>
                <w:rFonts w:ascii="仿宋" w:hAnsi="仿宋" w:cs="仿宋" w:eastAsia="仿宋"/>
                <w:sz w:val="21"/>
                <w:szCs w:val="21"/>
              </w:rPr>
              <w:t>标准项</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82" w:right="0"/>
              <w:jc w:val="left"/>
              <w:rPr>
                <w:rFonts w:ascii="仿宋" w:hAnsi="仿宋" w:cs="仿宋" w:eastAsia="仿宋"/>
                <w:sz w:val="21"/>
                <w:szCs w:val="21"/>
              </w:rPr>
            </w:pPr>
            <w:r>
              <w:rPr>
                <w:rFonts w:ascii="仿宋" w:hAnsi="仿宋" w:cs="仿宋" w:eastAsia="仿宋"/>
                <w:sz w:val="21"/>
                <w:szCs w:val="21"/>
              </w:rPr>
              <w:t>标准条文</w:t>
            </w:r>
          </w:p>
        </w:tc>
        <w:tc>
          <w:tcPr>
            <w:tcW w:w="633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仿宋" w:hAnsi="仿宋" w:cs="仿宋" w:eastAsia="仿宋"/>
                <w:sz w:val="21"/>
                <w:szCs w:val="21"/>
              </w:rPr>
            </w:pPr>
            <w:r>
              <w:rPr>
                <w:rFonts w:ascii="仿宋" w:hAnsi="仿宋" w:cs="仿宋" w:eastAsia="仿宋"/>
                <w:sz w:val="21"/>
                <w:szCs w:val="21"/>
              </w:rPr>
              <w:t>支撑材料清单</w:t>
            </w:r>
          </w:p>
        </w:tc>
      </w:tr>
      <w:tr>
        <w:trPr>
          <w:trHeight w:val="350" w:hRule="exact"/>
        </w:trPr>
        <w:tc>
          <w:tcPr>
            <w:tcW w:w="1102" w:type="dxa"/>
            <w:vMerge w:val="restart"/>
            <w:tcBorders>
              <w:top w:val="single" w:sz="4" w:space="0" w:color="000000"/>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7.3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7.4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6"/>
              <w:ind w:left="127" w:right="0"/>
              <w:jc w:val="left"/>
              <w:rPr>
                <w:rFonts w:ascii="仿宋" w:hAnsi="仿宋" w:cs="仿宋" w:eastAsia="仿宋"/>
                <w:sz w:val="21"/>
                <w:szCs w:val="21"/>
              </w:rPr>
            </w:pPr>
            <w:r>
              <w:rPr>
                <w:rFonts w:ascii="仿宋" w:hAnsi="仿宋" w:cs="仿宋" w:eastAsia="仿宋"/>
                <w:sz w:val="21"/>
                <w:szCs w:val="21"/>
              </w:rPr>
              <w:t>学生发展</w:t>
            </w: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8.1</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8.2</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仿宋" w:hAnsi="仿宋" w:cs="仿宋" w:eastAsia="仿宋"/>
                <w:sz w:val="21"/>
                <w:szCs w:val="21"/>
              </w:rPr>
            </w:pPr>
            <w:r>
              <w:rPr>
                <w:rFonts w:ascii="仿宋"/>
                <w:sz w:val="21"/>
              </w:rPr>
              <w:t>8.3</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8.4</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仿宋" w:hAnsi="仿宋" w:cs="仿宋" w:eastAsia="仿宋"/>
                <w:sz w:val="21"/>
                <w:szCs w:val="21"/>
              </w:rPr>
            </w:pPr>
            <w:r>
              <w:rPr>
                <w:rFonts w:ascii="仿宋"/>
                <w:sz w:val="21"/>
              </w:rPr>
              <w:t>8.5</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8.6</w:t>
            </w:r>
          </w:p>
        </w:tc>
        <w:tc>
          <w:tcPr>
            <w:tcW w:w="6339" w:type="dxa"/>
            <w:tcBorders>
              <w:top w:val="single" w:sz="4" w:space="0" w:color="000000"/>
              <w:left w:val="single" w:sz="4" w:space="0" w:color="000000"/>
              <w:bottom w:val="single" w:sz="4" w:space="0" w:color="000000"/>
              <w:right w:val="single" w:sz="4" w:space="0" w:color="000000"/>
            </w:tcBorders>
          </w:tcPr>
          <w:p>
            <w:pPr/>
          </w:p>
        </w:tc>
      </w:tr>
      <w:tr>
        <w:trPr>
          <w:trHeight w:val="350" w:hRule="exact"/>
        </w:trPr>
        <w:tc>
          <w:tcPr>
            <w:tcW w:w="1102" w:type="dxa"/>
            <w:vMerge/>
            <w:tcBorders>
              <w:left w:val="single" w:sz="4" w:space="0" w:color="000000"/>
              <w:bottom w:val="single" w:sz="4" w:space="0" w:color="000000"/>
              <w:right w:val="single" w:sz="4" w:space="0" w:color="000000"/>
            </w:tcBorders>
          </w:tcPr>
          <w:p>
            <w:pPr/>
          </w:p>
        </w:tc>
        <w:tc>
          <w:tcPr>
            <w:tcW w:w="14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仿宋" w:hAnsi="仿宋" w:cs="仿宋" w:eastAsia="仿宋"/>
                <w:sz w:val="21"/>
                <w:szCs w:val="21"/>
              </w:rPr>
            </w:pPr>
            <w:r>
              <w:rPr>
                <w:rFonts w:ascii="仿宋"/>
                <w:sz w:val="21"/>
              </w:rPr>
              <w:t>8.7</w:t>
            </w:r>
          </w:p>
        </w:tc>
        <w:tc>
          <w:tcPr>
            <w:tcW w:w="6339" w:type="dxa"/>
            <w:tcBorders>
              <w:top w:val="single" w:sz="4" w:space="0" w:color="000000"/>
              <w:left w:val="single" w:sz="4" w:space="0" w:color="000000"/>
              <w:bottom w:val="single" w:sz="4" w:space="0" w:color="000000"/>
              <w:right w:val="single" w:sz="4" w:space="0" w:color="000000"/>
            </w:tcBorders>
          </w:tcPr>
          <w:p>
            <w:pPr/>
          </w:p>
        </w:tc>
      </w:tr>
    </w:tbl>
    <w:sectPr>
      <w:pgSz w:w="12240" w:h="15840"/>
      <w:pgMar w:header="773" w:footer="677" w:top="960" w:bottom="86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华文楷体">
    <w:altName w:val="华文楷体"/>
    <w:charset w:val="86"/>
    <w:family w:val="auto"/>
    <w:pitch w:val="variable"/>
  </w:font>
  <w:font w:name="楷体">
    <w:altName w:val="楷体"/>
    <w:charset w:val="86"/>
    <w:family w:val="modern"/>
    <w:pitch w:val="fixed"/>
  </w:font>
  <w:font w:name="Wingdings">
    <w:altName w:val="Wingdings"/>
    <w:charset w:val="2"/>
    <w:family w:val="auto"/>
    <w:pitch w:val="variable"/>
  </w:font>
  <w:font w:name="Arial Unicode MS">
    <w:altName w:val="Arial Unicode MS"/>
    <w:charset w:val="86"/>
    <w:family w:val="swiss"/>
    <w:pitch w:val="variable"/>
  </w:font>
  <w:font w:name="黑体">
    <w:altName w:val="黑体"/>
    <w:charset w:val="86"/>
    <w:family w:val="modern"/>
    <w:pitch w:val="fixed"/>
  </w:font>
  <w:font w:name="微软雅黑">
    <w:altName w:val="微软雅黑"/>
    <w:charset w:val="86"/>
    <w:family w:val="swiss"/>
    <w:pitch w:val="variable"/>
  </w:font>
  <w:font w:name="Calibri">
    <w:altName w:val="Calibri"/>
    <w:charset w:val="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301.720001pt;margin-top:735.099976pt;width:8.6pt;height:11pt;mso-position-horizontal-relative:page;mso-position-vertical-relative:page;z-index:-25907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87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873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8</w:t>
                </w:r>
                <w:r>
                  <w:rPr/>
                  <w:fldChar w:fldCharType="end"/>
                </w:r>
                <w:r>
                  <w:rPr>
                    <w:rFonts w:ascii="Calibri"/>
                    <w:sz w:val="18"/>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868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46.018982pt;width:13.15pt;height:11pt;mso-position-horizontal-relative:page;mso-position-vertical-relative:page;z-index:-25866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854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852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84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w:t>
                </w:r>
                <w:r>
                  <w:rPr/>
                  <w:fldChar w:fldCharType="end"/>
                </w:r>
                <w:r>
                  <w:rPr>
                    <w:rFonts w:ascii="Calibri"/>
                    <w:w w:val="99"/>
                    <w:sz w:val="18"/>
                  </w:rPr>
                </w:r>
                <w:r>
                  <w:rPr>
                    <w:rFonts w:ascii="Calibri"/>
                    <w:sz w:val="18"/>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35.099976pt;width:8.6pt;height:11pt;mso-position-horizontal-relative:page;mso-position-vertical-relative:page;z-index:-2590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4</w:t>
                </w:r>
                <w:r>
                  <w:rPr/>
                  <w:fldChar w:fldCharType="end"/>
                </w:r>
                <w:r>
                  <w:rPr>
                    <w:rFonts w:ascii="Calibri"/>
                    <w:sz w:val="18"/>
                  </w:rPr>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847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12</w:t>
                </w:r>
                <w:r>
                  <w:rPr/>
                  <w:fldChar w:fldCharType="end"/>
                </w:r>
                <w:r>
                  <w:rPr>
                    <w:rFonts w:ascii="Calibri"/>
                    <w:w w:val="99"/>
                    <w:sz w:val="18"/>
                  </w:rPr>
                </w:r>
                <w:r>
                  <w:rPr>
                    <w:rFonts w:ascii="Calibri"/>
                    <w:sz w:val="18"/>
                  </w:rPr>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84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17</w:t>
                </w:r>
                <w:r>
                  <w:rPr/>
                  <w:fldChar w:fldCharType="end"/>
                </w:r>
                <w:r>
                  <w:rPr>
                    <w:rFonts w:ascii="Calibri"/>
                    <w:w w:val="99"/>
                    <w:sz w:val="18"/>
                  </w:rPr>
                </w:r>
                <w:r>
                  <w:rPr>
                    <w:rFonts w:ascii="Calibri"/>
                    <w:sz w:val="18"/>
                  </w:rPr>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46.018982pt;width:13.15pt;height:11pt;mso-position-horizontal-relative:page;mso-position-vertical-relative:page;z-index:-25828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811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804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8</w:t>
                </w:r>
                <w:r>
                  <w:rPr/>
                  <w:fldChar w:fldCharType="end"/>
                </w:r>
                <w:r>
                  <w:rPr>
                    <w:rFonts w:ascii="Calibri"/>
                    <w:sz w:val="18"/>
                  </w:rPr>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799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46.018982pt;width:13.15pt;height:11pt;mso-position-horizontal-relative:page;mso-position-vertical-relative:page;z-index:-25796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35.099976pt;width:13.15pt;height:11pt;mso-position-horizontal-relative:page;mso-position-vertical-relative:page;z-index:-25900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78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018982pt;width:8.6pt;height:11pt;mso-position-horizontal-relative:page;mso-position-vertical-relative:page;z-index:-25782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4</w:t>
                </w:r>
                <w:r>
                  <w:rPr/>
                  <w:fldChar w:fldCharType="end"/>
                </w:r>
                <w:r>
                  <w:rPr>
                    <w:rFonts w:ascii="Calibri"/>
                    <w:sz w:val="18"/>
                  </w:rPr>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77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77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w:t>
                </w:r>
                <w:r>
                  <w:rPr/>
                  <w:fldChar w:fldCharType="end"/>
                </w:r>
                <w:r>
                  <w:rPr>
                    <w:rFonts w:ascii="Calibri"/>
                    <w:w w:val="99"/>
                    <w:sz w:val="18"/>
                  </w:rPr>
                </w:r>
                <w:r>
                  <w:rPr>
                    <w:rFonts w:ascii="Calibri"/>
                    <w:sz w:val="18"/>
                  </w:rPr>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763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15</w:t>
                </w:r>
                <w:r>
                  <w:rPr/>
                  <w:fldChar w:fldCharType="end"/>
                </w:r>
                <w:r>
                  <w:rPr>
                    <w:rFonts w:ascii="Calibri"/>
                    <w:w w:val="99"/>
                    <w:sz w:val="18"/>
                  </w:rPr>
                </w:r>
                <w:r>
                  <w:rPr>
                    <w:rFonts w:ascii="Calibri"/>
                    <w:sz w:val="18"/>
                  </w:rPr>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46.018982pt;width:13.15pt;height:11pt;mso-position-horizontal-relative:page;mso-position-vertical-relative:page;z-index:-25758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018982pt;width:13.15pt;height:11pt;mso-position-horizontal-relative:page;mso-position-vertical-relative:page;z-index:-257560"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21</w:t>
                </w:r>
                <w:r>
                  <w:rPr/>
                  <w:fldChar w:fldCharType="end"/>
                </w:r>
                <w:r>
                  <w:rPr>
                    <w:rFonts w:ascii="Calibri"/>
                    <w:w w:val="99"/>
                    <w:sz w:val="18"/>
                  </w:rPr>
                </w:r>
                <w:r>
                  <w:rPr>
                    <w:rFonts w:ascii="Calibri"/>
                    <w:sz w:val="18"/>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35.099976pt;width:13.15pt;height:11pt;mso-position-horizontal-relative:page;mso-position-vertical-relative:page;z-index:-25897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11</w:t>
                </w:r>
                <w:r>
                  <w:rPr/>
                  <w:fldChar w:fldCharType="end"/>
                </w:r>
                <w:r>
                  <w:rPr>
                    <w:rFonts w:ascii="Calibri"/>
                    <w:w w:val="99"/>
                    <w:sz w:val="18"/>
                  </w:rPr>
                </w:r>
                <w:r>
                  <w:rPr>
                    <w:rFonts w:ascii="Calibri"/>
                    <w:sz w:val="18"/>
                  </w:rPr>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140015pt;width:8.6pt;height:11pt;mso-position-horizontal-relative:page;mso-position-vertical-relative:page;z-index:-25741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w:t>
                </w:r>
                <w:r>
                  <w:rPr/>
                  <w:fldChar w:fldCharType="end"/>
                </w:r>
                <w:r>
                  <w:rPr>
                    <w:rFonts w:ascii="Calibri"/>
                    <w:sz w:val="18"/>
                  </w:rPr>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720001pt;margin-top:746.140015pt;width:8.6pt;height:11pt;mso-position-horizontal-relative:page;mso-position-vertical-relative:page;z-index:-25734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8</w:t>
                </w:r>
                <w:r>
                  <w:rPr/>
                  <w:fldChar w:fldCharType="end"/>
                </w:r>
                <w:r>
                  <w:rPr>
                    <w:rFonts w:ascii="Calibri"/>
                    <w:sz w:val="18"/>
                  </w:rPr>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46.140015pt;width:13.15pt;height:11pt;mso-position-horizontal-relative:page;mso-position-vertical-relative:page;z-index:-257296"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10</w:t>
                </w:r>
                <w:r>
                  <w:rPr/>
                  <w:fldChar w:fldCharType="end"/>
                </w:r>
                <w:r>
                  <w:rPr>
                    <w:rFonts w:ascii="Calibri"/>
                    <w:w w:val="99"/>
                    <w:sz w:val="18"/>
                  </w:rPr>
                </w:r>
                <w:r>
                  <w:rPr>
                    <w:rFonts w:ascii="Calibri"/>
                    <w:sz w:val="18"/>
                  </w:rPr>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46.140015pt;width:13.15pt;height:11pt;mso-position-horizontal-relative:page;mso-position-vertical-relative:page;z-index:-257248"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9.440002pt;margin-top:735.099976pt;width:13.15pt;height:11pt;mso-position-horizontal-relative:page;mso-position-vertical-relative:page;z-index:-258952"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12</w:t>
                </w:r>
                <w:r>
                  <w:rPr/>
                  <w:fldChar w:fldCharType="end"/>
                </w:r>
                <w:r>
                  <w:rPr>
                    <w:rFonts w:ascii="Calibri"/>
                    <w:w w:val="99"/>
                    <w:sz w:val="18"/>
                  </w:rPr>
                </w:r>
                <w:r>
                  <w:rPr>
                    <w:rFonts w:ascii="Calibri"/>
                    <w:sz w:val="18"/>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8"/>
        <w:szCs w:val="18"/>
      </w:rPr>
    </w:pPr>
    <w:r>
      <w:rPr/>
      <w:pict>
        <v:shape style="position:absolute;margin-left:299.440002pt;margin-top:735.099976pt;width:13.15pt;height:11pt;mso-position-horizontal-relative:page;mso-position-vertical-relative:page;z-index:-258904" type="#_x0000_t202" filled="false" stroked="false">
          <v:textbox inset="0,0,0,0">
            <w:txbxContent>
              <w:p>
                <w:pPr>
                  <w:spacing w:line="203" w:lineRule="exact" w:before="0"/>
                  <w:ind w:left="40" w:right="0" w:firstLine="0"/>
                  <w:jc w:val="left"/>
                  <w:rPr>
                    <w:rFonts w:ascii="Calibri" w:hAnsi="Calibri" w:cs="Calibri" w:eastAsia="Calibri"/>
                    <w:sz w:val="18"/>
                    <w:szCs w:val="18"/>
                  </w:rPr>
                </w:pPr>
                <w:r>
                  <w:rPr>
                    <w:rFonts w:ascii="Calibri"/>
                    <w:w w:val="99"/>
                    <w:sz w:val="18"/>
                  </w:rPr>
                </w:r>
                <w:r>
                  <w:rPr/>
                  <w:fldChar w:fldCharType="begin"/>
                </w:r>
                <w:r>
                  <w:rPr>
                    <w:rFonts w:ascii="Calibri"/>
                    <w:w w:val="99"/>
                    <w:sz w:val="18"/>
                  </w:rPr>
                  <w:instrText> PAGE </w:instrText>
                </w:r>
                <w:r>
                  <w:rPr/>
                  <w:fldChar w:fldCharType="separate"/>
                </w:r>
                <w:r>
                  <w:rPr/>
                  <w:t>20</w:t>
                </w:r>
                <w:r>
                  <w:rPr/>
                  <w:fldChar w:fldCharType="end"/>
                </w:r>
                <w:r>
                  <w:rPr>
                    <w:rFonts w:ascii="Calibri"/>
                    <w:w w:val="99"/>
                    <w:sz w:val="18"/>
                  </w:rPr>
                </w:r>
                <w:r>
                  <w:rPr>
                    <w:rFonts w:ascii="Calibri"/>
                    <w:sz w:val="18"/>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909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83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80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76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71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64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61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59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56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44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400" coordorigin="1800,966" coordsize="8640,2">
          <v:shape style="position:absolute;left:1800;top:966;width:8640;height:2" coordorigin="1800,966" coordsize="8640,0" path="m1800,966l10440,966e" filled="false" stroked="true" strokeweight=".72pt" strokecolor="#000000">
            <v:path arrowok="t"/>
          </v:shape>
          <w10:wrap type="none"/>
        </v:group>
      </w:pict>
    </w:r>
    <w:r>
      <w:rPr/>
      <w:pict>
        <v:shape style="position:absolute;margin-left:89pt;margin-top:76.429581pt;width:194pt;height:14pt;mso-position-horizontal-relative:page;mso-position-vertical-relative:page;z-index:-258376" type="#_x0000_t202" filled="false" stroked="false">
          <v:textbox inset="0,0,0,0">
            <w:txbxContent>
              <w:p>
                <w:pPr>
                  <w:pStyle w:val="BodyText"/>
                  <w:spacing w:line="275" w:lineRule="exact"/>
                  <w:ind w:left="20" w:right="0"/>
                  <w:jc w:val="left"/>
                  <w:rPr>
                    <w:rFonts w:ascii="微软雅黑" w:hAnsi="微软雅黑" w:cs="微软雅黑" w:eastAsia="微软雅黑"/>
                  </w:rPr>
                </w:pPr>
                <w:r>
                  <w:rPr>
                    <w:rFonts w:ascii="微软雅黑" w:hAnsi="微软雅黑" w:cs="微软雅黑" w:eastAsia="微软雅黑"/>
                  </w:rPr>
                  <w:t>施监控与评价，保障毕业要求达成。</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352" coordorigin="1800,966" coordsize="8640,2">
          <v:shape style="position:absolute;left:1800;top:966;width:8640;height:2" coordorigin="1800,966" coordsize="8640,0" path="m1800,966l10440,966e" filled="false" stroked="true" strokeweight=".72pt" strokecolor="#000000">
            <v:path arrowok="t"/>
          </v:shape>
          <w10:wrap type="none"/>
        </v:group>
      </w:pict>
    </w:r>
    <w:r>
      <w:rPr/>
      <w:pict>
        <v:shape style="position:absolute;margin-left:89pt;margin-top:81.155457pt;width:350pt;height:14pt;mso-position-horizontal-relative:page;mso-position-vertical-relative:page;z-index:-258328" type="#_x0000_t202" filled="false" stroked="false">
          <v:textbox inset="0,0,0,0">
            <w:txbxContent>
              <w:p>
                <w:pPr>
                  <w:pStyle w:val="BodyText"/>
                  <w:spacing w:line="264" w:lineRule="exact"/>
                  <w:ind w:left="20" w:right="0"/>
                  <w:jc w:val="left"/>
                </w:pPr>
                <w:r>
                  <w:rPr/>
                  <w:t>部门等利益相关方对培养目标达成进行评价的内容、方法和结果。</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30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256" coordorigin="1800,966" coordsize="8640,2">
          <v:shape style="position:absolute;left:1800;top:966;width:8640;height:2" coordorigin="1800,966" coordsize="8640,0" path="m1800,966l10440,966e" filled="false" stroked="true" strokeweight=".72pt" strokecolor="#000000">
            <v:path arrowok="t"/>
          </v:shape>
          <w10:wrap type="none"/>
        </v:group>
      </w:pict>
    </w:r>
    <w:r>
      <w:rPr/>
      <w:pict>
        <v:shape style="position:absolute;margin-left:89pt;margin-top:73.589531pt;width:148.9pt;height:12.45pt;mso-position-horizontal-relative:page;mso-position-vertical-relative:page;z-index:-258232" type="#_x0000_t202" filled="false" stroked="false">
          <v:textbox inset="0,0,0,0">
            <w:txbxContent>
              <w:p>
                <w:pPr>
                  <w:spacing w:line="229" w:lineRule="exact" w:before="0"/>
                  <w:ind w:left="20" w:right="0" w:firstLine="0"/>
                  <w:jc w:val="left"/>
                  <w:rPr>
                    <w:rFonts w:ascii="楷体" w:hAnsi="楷体" w:cs="楷体" w:eastAsia="楷体"/>
                    <w:sz w:val="21"/>
                    <w:szCs w:val="21"/>
                  </w:rPr>
                </w:pPr>
                <w:r>
                  <w:rPr>
                    <w:rFonts w:ascii="楷体" w:hAnsi="楷体" w:cs="楷体" w:eastAsia="楷体"/>
                    <w:spacing w:val="-1"/>
                    <w:w w:val="99"/>
                    <w:sz w:val="21"/>
                    <w:szCs w:val="21"/>
                  </w:rPr>
                  <w:t>足</w:t>
                </w:r>
                <w:r>
                  <w:rPr>
                    <w:rFonts w:ascii="楷体" w:hAnsi="楷体" w:cs="楷体" w:eastAsia="楷体"/>
                    <w:spacing w:val="2"/>
                    <w:w w:val="99"/>
                    <w:sz w:val="21"/>
                    <w:szCs w:val="21"/>
                  </w:rPr>
                  <w:t>，</w:t>
                </w:r>
                <w:r>
                  <w:rPr>
                    <w:rFonts w:ascii="楷体" w:hAnsi="楷体" w:cs="楷体" w:eastAsia="楷体"/>
                    <w:spacing w:val="-1"/>
                    <w:w w:val="99"/>
                    <w:sz w:val="21"/>
                    <w:szCs w:val="21"/>
                  </w:rPr>
                  <w:t>为</w:t>
                </w:r>
                <w:r>
                  <w:rPr>
                    <w:rFonts w:ascii="楷体" w:hAnsi="楷体" w:cs="楷体" w:eastAsia="楷体"/>
                    <w:spacing w:val="2"/>
                    <w:w w:val="99"/>
                    <w:sz w:val="21"/>
                    <w:szCs w:val="21"/>
                  </w:rPr>
                  <w:t>专</w:t>
                </w:r>
                <w:r>
                  <w:rPr>
                    <w:rFonts w:ascii="楷体" w:hAnsi="楷体" w:cs="楷体" w:eastAsia="楷体"/>
                    <w:spacing w:val="-1"/>
                    <w:w w:val="99"/>
                    <w:sz w:val="21"/>
                    <w:szCs w:val="21"/>
                  </w:rPr>
                  <w:t>业</w:t>
                </w:r>
                <w:r>
                  <w:rPr>
                    <w:rFonts w:ascii="楷体" w:hAnsi="楷体" w:cs="楷体" w:eastAsia="楷体"/>
                    <w:spacing w:val="2"/>
                    <w:w w:val="99"/>
                    <w:sz w:val="21"/>
                    <w:szCs w:val="21"/>
                  </w:rPr>
                  <w:t>持</w:t>
                </w:r>
                <w:r>
                  <w:rPr>
                    <w:rFonts w:ascii="楷体" w:hAnsi="楷体" w:cs="楷体" w:eastAsia="楷体"/>
                    <w:spacing w:val="-1"/>
                    <w:w w:val="99"/>
                    <w:sz w:val="21"/>
                    <w:szCs w:val="21"/>
                  </w:rPr>
                  <w:t>续</w:t>
                </w:r>
                <w:r>
                  <w:rPr>
                    <w:rFonts w:ascii="楷体" w:hAnsi="楷体" w:cs="楷体" w:eastAsia="楷体"/>
                    <w:spacing w:val="2"/>
                    <w:w w:val="99"/>
                    <w:sz w:val="21"/>
                    <w:szCs w:val="21"/>
                  </w:rPr>
                  <w:t>改</w:t>
                </w:r>
                <w:r>
                  <w:rPr>
                    <w:rFonts w:ascii="楷体" w:hAnsi="楷体" w:cs="楷体" w:eastAsia="楷体"/>
                    <w:spacing w:val="-1"/>
                    <w:w w:val="99"/>
                    <w:sz w:val="21"/>
                    <w:szCs w:val="21"/>
                  </w:rPr>
                  <w:t>进</w:t>
                </w:r>
                <w:r>
                  <w:rPr>
                    <w:rFonts w:ascii="楷体" w:hAnsi="楷体" w:cs="楷体" w:eastAsia="楷体"/>
                    <w:spacing w:val="2"/>
                    <w:w w:val="99"/>
                    <w:sz w:val="21"/>
                    <w:szCs w:val="21"/>
                  </w:rPr>
                  <w:t>提</w:t>
                </w:r>
                <w:r>
                  <w:rPr>
                    <w:rFonts w:ascii="楷体" w:hAnsi="楷体" w:cs="楷体" w:eastAsia="楷体"/>
                    <w:spacing w:val="-1"/>
                    <w:w w:val="99"/>
                    <w:sz w:val="21"/>
                    <w:szCs w:val="21"/>
                  </w:rPr>
                  <w:t>供</w:t>
                </w:r>
                <w:r>
                  <w:rPr>
                    <w:rFonts w:ascii="楷体" w:hAnsi="楷体" w:cs="楷体" w:eastAsia="楷体"/>
                    <w:spacing w:val="2"/>
                    <w:w w:val="99"/>
                    <w:sz w:val="21"/>
                    <w:szCs w:val="21"/>
                  </w:rPr>
                  <w:t>依</w:t>
                </w:r>
                <w:r>
                  <w:rPr>
                    <w:rFonts w:ascii="楷体" w:hAnsi="楷体" w:cs="楷体" w:eastAsia="楷体"/>
                    <w:spacing w:val="-1"/>
                    <w:w w:val="99"/>
                    <w:sz w:val="21"/>
                    <w:szCs w:val="21"/>
                  </w:rPr>
                  <w:t>据</w:t>
                </w:r>
                <w:r>
                  <w:rPr>
                    <w:rFonts w:ascii="楷体" w:hAnsi="楷体" w:cs="楷体" w:eastAsia="楷体"/>
                    <w:w w:val="99"/>
                    <w:sz w:val="21"/>
                    <w:szCs w:val="21"/>
                  </w:rPr>
                  <w:t>）</w:t>
                </w:r>
                <w:r>
                  <w:rPr>
                    <w:rFonts w:ascii="楷体" w:hAnsi="楷体" w:cs="楷体" w:eastAsia="楷体"/>
                    <w:sz w:val="21"/>
                    <w:szCs w:val="21"/>
                  </w:rPr>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20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18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902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16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13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08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06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01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94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92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89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87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80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728" coordorigin="1800,966" coordsize="8640,2">
          <v:shape style="position:absolute;left:1800;top:966;width:8640;height:2" coordorigin="1800,966" coordsize="8640,0" path="m1800,966l10440,966e" filled="false" stroked="true" strokeweight=".72pt" strokecolor="#000000">
            <v:path arrowok="t"/>
          </v:shape>
          <w10:wrap type="none"/>
        </v:group>
      </w:pict>
    </w:r>
    <w:r>
      <w:rPr/>
      <w:pict>
        <v:shape style="position:absolute;margin-left:89pt;margin-top:73.589531pt;width:85.9pt;height:12.45pt;mso-position-horizontal-relative:page;mso-position-vertical-relative:page;z-index:-257704" type="#_x0000_t202" filled="false" stroked="false">
          <v:textbox inset="0,0,0,0">
            <w:txbxContent>
              <w:p>
                <w:pPr>
                  <w:spacing w:line="229" w:lineRule="exact" w:before="0"/>
                  <w:ind w:left="20" w:right="0" w:firstLine="0"/>
                  <w:jc w:val="left"/>
                  <w:rPr>
                    <w:rFonts w:ascii="楷体" w:hAnsi="楷体" w:cs="楷体" w:eastAsia="楷体"/>
                    <w:sz w:val="21"/>
                    <w:szCs w:val="21"/>
                  </w:rPr>
                </w:pPr>
                <w:r>
                  <w:rPr>
                    <w:rFonts w:ascii="楷体" w:hAnsi="楷体" w:cs="楷体" w:eastAsia="楷体"/>
                    <w:spacing w:val="-1"/>
                    <w:w w:val="99"/>
                    <w:sz w:val="21"/>
                    <w:szCs w:val="21"/>
                  </w:rPr>
                  <w:t>分</w:t>
                </w:r>
                <w:r>
                  <w:rPr>
                    <w:rFonts w:ascii="楷体" w:hAnsi="楷体" w:cs="楷体" w:eastAsia="楷体"/>
                    <w:spacing w:val="2"/>
                    <w:w w:val="99"/>
                    <w:sz w:val="21"/>
                    <w:szCs w:val="21"/>
                  </w:rPr>
                  <w:t>析</w:t>
                </w:r>
                <w:r>
                  <w:rPr>
                    <w:rFonts w:ascii="楷体" w:hAnsi="楷体" w:cs="楷体" w:eastAsia="楷体"/>
                    <w:spacing w:val="-1"/>
                    <w:w w:val="99"/>
                    <w:sz w:val="21"/>
                    <w:szCs w:val="21"/>
                  </w:rPr>
                  <w:t>和</w:t>
                </w:r>
                <w:r>
                  <w:rPr>
                    <w:rFonts w:ascii="楷体" w:hAnsi="楷体" w:cs="楷体" w:eastAsia="楷体"/>
                    <w:spacing w:val="2"/>
                    <w:w w:val="99"/>
                    <w:sz w:val="21"/>
                    <w:szCs w:val="21"/>
                  </w:rPr>
                  <w:t>达</w:t>
                </w:r>
                <w:r>
                  <w:rPr>
                    <w:rFonts w:ascii="楷体" w:hAnsi="楷体" w:cs="楷体" w:eastAsia="楷体"/>
                    <w:spacing w:val="-1"/>
                    <w:w w:val="99"/>
                    <w:sz w:val="21"/>
                    <w:szCs w:val="21"/>
                  </w:rPr>
                  <w:t>成</w:t>
                </w:r>
                <w:r>
                  <w:rPr>
                    <w:rFonts w:ascii="楷体" w:hAnsi="楷体" w:cs="楷体" w:eastAsia="楷体"/>
                    <w:spacing w:val="2"/>
                    <w:w w:val="99"/>
                    <w:sz w:val="21"/>
                    <w:szCs w:val="21"/>
                  </w:rPr>
                  <w:t>说</w:t>
                </w:r>
                <w:r>
                  <w:rPr>
                    <w:rFonts w:ascii="楷体" w:hAnsi="楷体" w:cs="楷体" w:eastAsia="楷体"/>
                    <w:spacing w:val="-1"/>
                    <w:w w:val="99"/>
                    <w:sz w:val="21"/>
                    <w:szCs w:val="21"/>
                  </w:rPr>
                  <w:t>明</w:t>
                </w:r>
                <w:r>
                  <w:rPr>
                    <w:rFonts w:ascii="楷体" w:hAnsi="楷体" w:cs="楷体" w:eastAsia="楷体"/>
                    <w:w w:val="99"/>
                    <w:sz w:val="21"/>
                    <w:szCs w:val="21"/>
                  </w:rPr>
                  <w:t>）</w:t>
                </w:r>
                <w:r>
                  <w:rPr>
                    <w:rFonts w:ascii="楷体" w:hAnsi="楷体" w:cs="楷体" w:eastAsia="楷体"/>
                    <w:sz w:val="21"/>
                    <w:szCs w:val="21"/>
                  </w:rPr>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680" coordorigin="1800,966" coordsize="8640,2">
          <v:shape style="position:absolute;left:1800;top:966;width:8640;height:2" coordorigin="1800,966" coordsize="8640,0" path="m1800,966l10440,966e" filled="false" stroked="true" strokeweight=".72pt" strokecolor="#000000">
            <v:path arrowok="t"/>
          </v:shape>
          <w10:wrap type="none"/>
        </v:group>
      </w:pict>
    </w:r>
    <w:r>
      <w:rPr/>
      <w:pict>
        <v:shape style="position:absolute;margin-left:89pt;margin-top:81.155457pt;width:386pt;height:14pt;mso-position-horizontal-relative:page;mso-position-vertical-relative:page;z-index:-257656" type="#_x0000_t202" filled="false" stroked="false">
          <v:textbox inset="0,0,0,0">
            <w:txbxContent>
              <w:p>
                <w:pPr>
                  <w:pStyle w:val="BodyText"/>
                  <w:spacing w:line="264" w:lineRule="exact"/>
                  <w:ind w:left="20" w:right="0"/>
                  <w:jc w:val="left"/>
                </w:pPr>
                <w:r>
                  <w:rPr/>
                  <w:t>④描述专业专任教师为学生提供职前养成和职后发展一体化指导的情况。</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60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53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51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48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46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44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39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36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32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272"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7224"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928"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880"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8.310001pt;width:432pt;height:.1pt;mso-position-horizontal-relative:page;mso-position-vertical-relative:page;z-index:-258856" coordorigin="1800,966" coordsize="8640,2">
          <v:shape style="position:absolute;left:1800;top:966;width:8640;height:2" coordorigin="1800,966" coordsize="8640,0" path="m1800,966l10440,966e" filled="false" stroked="true" strokeweight=".72pt" strokecolor="#000000">
            <v:path arrowok="t"/>
          </v:shape>
          <w10:wrap type="non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20"/>
    </w:pPr>
    <w:rPr>
      <w:rFonts w:ascii="华文楷体" w:hAnsi="华文楷体" w:eastAsia="华文楷体"/>
      <w:sz w:val="24"/>
      <w:szCs w:val="24"/>
    </w:rPr>
  </w:style>
  <w:style w:styleId="Heading1" w:type="paragraph">
    <w:name w:val="Heading 1"/>
    <w:basedOn w:val="Normal"/>
    <w:uiPriority w:val="1"/>
    <w:qFormat/>
    <w:pPr>
      <w:spacing w:before="250"/>
      <w:ind w:left="1039"/>
      <w:outlineLvl w:val="1"/>
    </w:pPr>
    <w:rPr>
      <w:rFonts w:ascii="黑体" w:hAnsi="黑体" w:eastAsia="黑体"/>
      <w:b/>
      <w:bCs/>
      <w:sz w:val="72"/>
      <w:szCs w:val="72"/>
    </w:rPr>
  </w:style>
  <w:style w:styleId="Heading2" w:type="paragraph">
    <w:name w:val="Heading 2"/>
    <w:basedOn w:val="Normal"/>
    <w:uiPriority w:val="1"/>
    <w:qFormat/>
    <w:pPr>
      <w:ind w:left="1039"/>
      <w:outlineLvl w:val="2"/>
    </w:pPr>
    <w:rPr>
      <w:rFonts w:ascii="黑体" w:hAnsi="黑体" w:eastAsia="黑体"/>
      <w:sz w:val="52"/>
      <w:szCs w:val="52"/>
    </w:rPr>
  </w:style>
  <w:style w:styleId="Heading3" w:type="paragraph">
    <w:name w:val="Heading 3"/>
    <w:basedOn w:val="Normal"/>
    <w:uiPriority w:val="1"/>
    <w:qFormat/>
    <w:pPr>
      <w:ind w:left="1039"/>
      <w:outlineLvl w:val="3"/>
    </w:pPr>
    <w:rPr>
      <w:rFonts w:ascii="黑体" w:hAnsi="黑体" w:eastAsia="黑体"/>
      <w:sz w:val="44"/>
      <w:szCs w:val="44"/>
    </w:rPr>
  </w:style>
  <w:style w:styleId="Heading4" w:type="paragraph">
    <w:name w:val="Heading 4"/>
    <w:basedOn w:val="Normal"/>
    <w:uiPriority w:val="1"/>
    <w:qFormat/>
    <w:pPr>
      <w:ind w:left="120"/>
      <w:outlineLvl w:val="4"/>
    </w:pPr>
    <w:rPr>
      <w:rFonts w:ascii="微软雅黑" w:hAnsi="微软雅黑" w:eastAsia="微软雅黑"/>
      <w:b/>
      <w:bCs/>
      <w:sz w:val="28"/>
      <w:szCs w:val="28"/>
    </w:rPr>
  </w:style>
  <w:style w:styleId="Heading5" w:type="paragraph">
    <w:name w:val="Heading 5"/>
    <w:basedOn w:val="Normal"/>
    <w:uiPriority w:val="1"/>
    <w:qFormat/>
    <w:pPr>
      <w:ind w:left="120"/>
      <w:outlineLvl w:val="5"/>
    </w:pPr>
    <w:rPr>
      <w:rFonts w:ascii="微软雅黑" w:hAnsi="微软雅黑" w:eastAsia="微软雅黑"/>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footer" Target="footer7.xml"/><Relationship Id="rId22" Type="http://schemas.openxmlformats.org/officeDocument/2006/relationships/header" Target="header10.xml"/><Relationship Id="rId23" Type="http://schemas.openxmlformats.org/officeDocument/2006/relationships/footer" Target="footer8.xml"/><Relationship Id="rId24" Type="http://schemas.openxmlformats.org/officeDocument/2006/relationships/header" Target="header11.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header" Target="header12.xml"/><Relationship Id="rId28" Type="http://schemas.openxmlformats.org/officeDocument/2006/relationships/header" Target="header13.xml"/><Relationship Id="rId29" Type="http://schemas.openxmlformats.org/officeDocument/2006/relationships/footer" Target="footer11.xml"/><Relationship Id="rId30" Type="http://schemas.openxmlformats.org/officeDocument/2006/relationships/header" Target="header14.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header" Target="header15.xml"/><Relationship Id="rId34" Type="http://schemas.openxmlformats.org/officeDocument/2006/relationships/header" Target="header16.xml"/><Relationship Id="rId35" Type="http://schemas.openxmlformats.org/officeDocument/2006/relationships/footer" Target="footer14.xml"/><Relationship Id="rId36" Type="http://schemas.openxmlformats.org/officeDocument/2006/relationships/header" Target="header17.xml"/><Relationship Id="rId37" Type="http://schemas.openxmlformats.org/officeDocument/2006/relationships/footer" Target="footer15.xml"/><Relationship Id="rId38" Type="http://schemas.openxmlformats.org/officeDocument/2006/relationships/header" Target="header18.xml"/><Relationship Id="rId39" Type="http://schemas.openxmlformats.org/officeDocument/2006/relationships/footer" Target="footer16.xml"/><Relationship Id="rId40" Type="http://schemas.openxmlformats.org/officeDocument/2006/relationships/footer" Target="footer17.xml"/><Relationship Id="rId41" Type="http://schemas.openxmlformats.org/officeDocument/2006/relationships/header" Target="header19.xml"/><Relationship Id="rId42" Type="http://schemas.openxmlformats.org/officeDocument/2006/relationships/footer" Target="footer18.xml"/><Relationship Id="rId43" Type="http://schemas.openxmlformats.org/officeDocument/2006/relationships/header" Target="header20.xml"/><Relationship Id="rId44" Type="http://schemas.openxmlformats.org/officeDocument/2006/relationships/footer" Target="footer19.xml"/><Relationship Id="rId45" Type="http://schemas.openxmlformats.org/officeDocument/2006/relationships/header" Target="header21.xml"/><Relationship Id="rId46" Type="http://schemas.openxmlformats.org/officeDocument/2006/relationships/footer" Target="footer20.xml"/><Relationship Id="rId47" Type="http://schemas.openxmlformats.org/officeDocument/2006/relationships/header" Target="header22.xml"/><Relationship Id="rId48" Type="http://schemas.openxmlformats.org/officeDocument/2006/relationships/header" Target="header23.xml"/><Relationship Id="rId49" Type="http://schemas.openxmlformats.org/officeDocument/2006/relationships/footer" Target="footer21.xml"/><Relationship Id="rId50" Type="http://schemas.openxmlformats.org/officeDocument/2006/relationships/header" Target="header24.xml"/><Relationship Id="rId51" Type="http://schemas.openxmlformats.org/officeDocument/2006/relationships/header" Target="header25.xml"/><Relationship Id="rId52" Type="http://schemas.openxmlformats.org/officeDocument/2006/relationships/header" Target="header26.xml"/><Relationship Id="rId53" Type="http://schemas.openxmlformats.org/officeDocument/2006/relationships/footer" Target="footer22.xml"/><Relationship Id="rId54" Type="http://schemas.openxmlformats.org/officeDocument/2006/relationships/header" Target="header27.xml"/><Relationship Id="rId55" Type="http://schemas.openxmlformats.org/officeDocument/2006/relationships/header" Target="header28.xml"/><Relationship Id="rId56" Type="http://schemas.openxmlformats.org/officeDocument/2006/relationships/header" Target="header29.xml"/><Relationship Id="rId57" Type="http://schemas.openxmlformats.org/officeDocument/2006/relationships/footer" Target="footer23.xml"/><Relationship Id="rId58" Type="http://schemas.openxmlformats.org/officeDocument/2006/relationships/header" Target="header30.xml"/><Relationship Id="rId59" Type="http://schemas.openxmlformats.org/officeDocument/2006/relationships/footer" Target="footer24.xml"/><Relationship Id="rId60" Type="http://schemas.openxmlformats.org/officeDocument/2006/relationships/header" Target="header31.xml"/><Relationship Id="rId61" Type="http://schemas.openxmlformats.org/officeDocument/2006/relationships/footer" Target="footer25.xml"/><Relationship Id="rId62" Type="http://schemas.openxmlformats.org/officeDocument/2006/relationships/footer" Target="footer26.xml"/><Relationship Id="rId63" Type="http://schemas.openxmlformats.org/officeDocument/2006/relationships/header" Target="header32.xml"/><Relationship Id="rId64" Type="http://schemas.openxmlformats.org/officeDocument/2006/relationships/header" Target="header33.xml"/><Relationship Id="rId65" Type="http://schemas.openxmlformats.org/officeDocument/2006/relationships/header" Target="header34.xml"/><Relationship Id="rId66" Type="http://schemas.openxmlformats.org/officeDocument/2006/relationships/footer" Target="footer27.xml"/><Relationship Id="rId67" Type="http://schemas.openxmlformats.org/officeDocument/2006/relationships/header" Target="header35.xml"/><Relationship Id="rId68" Type="http://schemas.openxmlformats.org/officeDocument/2006/relationships/footer" Target="footer28.xml"/><Relationship Id="rId69" Type="http://schemas.openxmlformats.org/officeDocument/2006/relationships/footer" Target="footer29.xml"/><Relationship Id="rId70" Type="http://schemas.openxmlformats.org/officeDocument/2006/relationships/header" Target="header36.xml"/><Relationship Id="rId71" Type="http://schemas.openxmlformats.org/officeDocument/2006/relationships/header" Target="header37.xml"/><Relationship Id="rId72" Type="http://schemas.openxmlformats.org/officeDocument/2006/relationships/footer" Target="footer30.xml"/><Relationship Id="rId73" Type="http://schemas.openxmlformats.org/officeDocument/2006/relationships/header" Target="header38.xml"/><Relationship Id="rId74" Type="http://schemas.openxmlformats.org/officeDocument/2006/relationships/footer" Target="footer31.xml"/><Relationship Id="rId75" Type="http://schemas.openxmlformats.org/officeDocument/2006/relationships/header" Target="header39.xml"/><Relationship Id="rId76" Type="http://schemas.openxmlformats.org/officeDocument/2006/relationships/footer" Target="footer32.xml"/><Relationship Id="rId77" Type="http://schemas.openxmlformats.org/officeDocument/2006/relationships/footer" Target="footer33.xml"/><Relationship Id="rId78" Type="http://schemas.openxmlformats.org/officeDocument/2006/relationships/header" Target="header40.xml"/><Relationship Id="rId79" Type="http://schemas.openxmlformats.org/officeDocument/2006/relationships/footer" Target="footer34.xml"/><Relationship Id="rId80" Type="http://schemas.openxmlformats.org/officeDocument/2006/relationships/header" Target="header41.xml"/><Relationship Id="rId81" Type="http://schemas.openxmlformats.org/officeDocument/2006/relationships/header" Target="header42.xml"/><Relationship Id="rId82" Type="http://schemas.openxmlformats.org/officeDocument/2006/relationships/footer" Target="footer35.xml"/><Relationship Id="rId83" Type="http://schemas.openxmlformats.org/officeDocument/2006/relationships/header" Target="header43.xml"/><Relationship Id="rId84" Type="http://schemas.openxmlformats.org/officeDocument/2006/relationships/footer" Target="footer36.xml"/><Relationship Id="rId85" Type="http://schemas.openxmlformats.org/officeDocument/2006/relationships/header" Target="header44.xml"/><Relationship Id="rId86" Type="http://schemas.openxmlformats.org/officeDocument/2006/relationships/header" Target="header45.xml"/><Relationship Id="rId87" Type="http://schemas.openxmlformats.org/officeDocument/2006/relationships/header" Target="header46.xml"/><Relationship Id="rId88" Type="http://schemas.openxmlformats.org/officeDocument/2006/relationships/header" Target="header47.xml"/><Relationship Id="rId89" Type="http://schemas.openxmlformats.org/officeDocument/2006/relationships/footer" Target="footer37.xml"/><Relationship Id="rId90" Type="http://schemas.openxmlformats.org/officeDocument/2006/relationships/header" Target="header48.xml"/><Relationship Id="rId91" Type="http://schemas.openxmlformats.org/officeDocument/2006/relationships/footer" Target="footer38.xml"/><Relationship Id="rId92" Type="http://schemas.openxmlformats.org/officeDocument/2006/relationships/header" Target="header49.xml"/><Relationship Id="rId93" Type="http://schemas.openxmlformats.org/officeDocument/2006/relationships/footer" Target="footer39.xml"/><Relationship Id="rId94" Type="http://schemas.openxmlformats.org/officeDocument/2006/relationships/header" Target="header50.xml"/><Relationship Id="rId95" Type="http://schemas.openxmlformats.org/officeDocument/2006/relationships/header" Target="header51.xml"/><Relationship Id="rId96" Type="http://schemas.openxmlformats.org/officeDocument/2006/relationships/header" Target="header52.xml"/><Relationship Id="rId97" Type="http://schemas.openxmlformats.org/officeDocument/2006/relationships/footer" Target="footer40.xml"/><Relationship Id="rId98" Type="http://schemas.openxmlformats.org/officeDocument/2006/relationships/header" Target="header53.xml"/><Relationship Id="rId99" Type="http://schemas.openxmlformats.org/officeDocument/2006/relationships/footer" Target="footer41.xml"/><Relationship Id="rId100" Type="http://schemas.openxmlformats.org/officeDocument/2006/relationships/header" Target="header54.xml"/><Relationship Id="rId101" Type="http://schemas.openxmlformats.org/officeDocument/2006/relationships/footer" Target="footer42.xml"/><Relationship Id="rId102" Type="http://schemas.openxmlformats.org/officeDocument/2006/relationships/footer" Target="footer43.xml"/><Relationship Id="rId103" Type="http://schemas.openxmlformats.org/officeDocument/2006/relationships/header" Target="header55.xml"/><Relationship Id="rId104" Type="http://schemas.openxmlformats.org/officeDocument/2006/relationships/header" Target="header56.xml"/><Relationship Id="rId105" Type="http://schemas.openxmlformats.org/officeDocument/2006/relationships/header" Target="header57.xml"/><Relationship Id="rId106" Type="http://schemas.openxmlformats.org/officeDocument/2006/relationships/footer" Target="footer44.xml"/><Relationship Id="rId107" Type="http://schemas.openxmlformats.org/officeDocument/2006/relationships/header" Target="header58.xml"/><Relationship Id="rId108" Type="http://schemas.openxmlformats.org/officeDocument/2006/relationships/footer" Target="footer45.xml"/><Relationship Id="rId109" Type="http://schemas.openxmlformats.org/officeDocument/2006/relationships/header" Target="header59.xml"/><Relationship Id="rId110" Type="http://schemas.openxmlformats.org/officeDocument/2006/relationships/footer" Target="footer46.xml"/><Relationship Id="rId111" Type="http://schemas.openxmlformats.org/officeDocument/2006/relationships/header" Target="head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dcterms:created xsi:type="dcterms:W3CDTF">2019-04-30T09:46:51Z</dcterms:created>
  <dcterms:modified xsi:type="dcterms:W3CDTF">2019-04-30T09:46:51Z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WPS Office</vt:lpwstr>
  </property>
  <property fmtid="{D5CDD505-2E9C-101B-9397-08002B2CF9AE}" pid="4" name="LastSaved">
    <vt:filetime>2019-04-30T00:00:00Z</vt:filetime>
  </property>
</Properties>
</file>